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D4217" w14:textId="31576C77" w:rsidR="007251FD" w:rsidRDefault="00D65EA2" w:rsidP="007251FD">
      <w:pPr>
        <w:spacing w:after="0" w:line="240" w:lineRule="auto"/>
        <w:jc w:val="center"/>
      </w:pPr>
      <w:r>
        <w:rPr>
          <w:noProof/>
        </w:rPr>
        <w:drawing>
          <wp:inline distT="0" distB="0" distL="0" distR="0" wp14:anchorId="01E8F1D1" wp14:editId="594EA5E6">
            <wp:extent cx="5245768" cy="1010653"/>
            <wp:effectExtent l="0" t="0" r="0" b="0"/>
            <wp:docPr id="3" name="Picture 3"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sign&#10;&#10;Description automatically generated"/>
                    <pic:cNvPicPr/>
                  </pic:nvPicPr>
                  <pic:blipFill>
                    <a:blip r:embed="rId10"/>
                    <a:stretch>
                      <a:fillRect/>
                    </a:stretch>
                  </pic:blipFill>
                  <pic:spPr>
                    <a:xfrm>
                      <a:off x="0" y="0"/>
                      <a:ext cx="5245768" cy="1010653"/>
                    </a:xfrm>
                    <a:prstGeom prst="rect">
                      <a:avLst/>
                    </a:prstGeom>
                  </pic:spPr>
                </pic:pic>
              </a:graphicData>
            </a:graphic>
          </wp:inline>
        </w:drawing>
      </w:r>
      <w:r w:rsidR="007251FD" w:rsidRPr="007251FD">
        <w:t xml:space="preserve"> </w:t>
      </w:r>
    </w:p>
    <w:p w14:paraId="73AD1C15" w14:textId="77777777" w:rsidR="00725D10" w:rsidRDefault="00725D10" w:rsidP="007251FD">
      <w:pPr>
        <w:jc w:val="center"/>
      </w:pPr>
    </w:p>
    <w:p w14:paraId="531B4684" w14:textId="69341B12" w:rsidR="007251FD" w:rsidRDefault="007251FD" w:rsidP="00F40296">
      <w:pPr>
        <w:ind w:right="-307" w:hanging="284"/>
        <w:jc w:val="center"/>
        <w:rPr>
          <w:rFonts w:ascii="Calibri" w:eastAsia="MS Mincho" w:hAnsi="Calibri"/>
          <w:b/>
          <w:color w:val="000000" w:themeColor="text1"/>
          <w:sz w:val="28"/>
          <w:szCs w:val="28"/>
        </w:rPr>
      </w:pPr>
      <w:r w:rsidRPr="00F40296">
        <w:rPr>
          <w:rFonts w:ascii="Calibri" w:eastAsia="MS Mincho" w:hAnsi="Calibri"/>
          <w:b/>
          <w:color w:val="000000" w:themeColor="text1"/>
          <w:sz w:val="28"/>
          <w:szCs w:val="28"/>
        </w:rPr>
        <w:t>Information Sheet</w:t>
      </w:r>
      <w:r w:rsidR="00F40296" w:rsidRPr="00F40296">
        <w:rPr>
          <w:rFonts w:ascii="Calibri" w:eastAsia="MS Mincho" w:hAnsi="Calibri"/>
          <w:b/>
          <w:color w:val="000000" w:themeColor="text1"/>
          <w:sz w:val="28"/>
          <w:szCs w:val="28"/>
        </w:rPr>
        <w:t xml:space="preserve"> </w:t>
      </w:r>
      <w:r w:rsidR="00D65EA2">
        <w:rPr>
          <w:rFonts w:ascii="Calibri" w:eastAsia="MS Mincho" w:hAnsi="Calibri"/>
          <w:b/>
          <w:color w:val="000000" w:themeColor="text1"/>
          <w:sz w:val="28"/>
          <w:szCs w:val="28"/>
        </w:rPr>
        <w:t>August 2020</w:t>
      </w:r>
    </w:p>
    <w:p w14:paraId="7B54E55D" w14:textId="39DAF519" w:rsidR="00D65EA2" w:rsidRPr="00267DE3" w:rsidRDefault="00D65EA2" w:rsidP="00D65EA2">
      <w:pPr>
        <w:jc w:val="center"/>
        <w:rPr>
          <w:rFonts w:ascii="Calibri" w:eastAsia="MS Mincho" w:hAnsi="Calibri"/>
          <w:b/>
          <w:color w:val="008000"/>
          <w:sz w:val="32"/>
          <w:szCs w:val="32"/>
        </w:rPr>
      </w:pPr>
      <w:r>
        <w:rPr>
          <w:rFonts w:ascii="Calibri" w:eastAsia="MS Mincho" w:hAnsi="Calibri"/>
          <w:b/>
          <w:color w:val="008000"/>
          <w:sz w:val="32"/>
          <w:szCs w:val="32"/>
        </w:rPr>
        <w:t>SHIP Enhancement</w:t>
      </w:r>
      <w:r w:rsidR="004F449D">
        <w:rPr>
          <w:rFonts w:ascii="Calibri" w:eastAsia="MS Mincho" w:hAnsi="Calibri"/>
          <w:b/>
          <w:color w:val="008000"/>
          <w:sz w:val="32"/>
          <w:szCs w:val="32"/>
        </w:rPr>
        <w:t>s</w:t>
      </w:r>
      <w:r>
        <w:rPr>
          <w:rFonts w:ascii="Calibri" w:eastAsia="MS Mincho" w:hAnsi="Calibri"/>
          <w:b/>
          <w:color w:val="008000"/>
          <w:sz w:val="32"/>
          <w:szCs w:val="32"/>
        </w:rPr>
        <w:t>: August – November 2020</w:t>
      </w:r>
    </w:p>
    <w:p w14:paraId="387BB542" w14:textId="77777777" w:rsidR="00D65EA2" w:rsidRDefault="00D65EA2" w:rsidP="00782C67">
      <w:pPr>
        <w:pStyle w:val="Heading3"/>
        <w:keepNext/>
        <w:spacing w:before="60" w:beforeAutospacing="0" w:after="0" w:afterAutospacing="0" w:line="276" w:lineRule="auto"/>
        <w:ind w:right="-472"/>
        <w:rPr>
          <w:color w:val="002060"/>
          <w:sz w:val="22"/>
          <w:szCs w:val="22"/>
        </w:rPr>
      </w:pPr>
      <w:r>
        <w:rPr>
          <w:color w:val="002060"/>
          <w:sz w:val="22"/>
          <w:szCs w:val="22"/>
        </w:rPr>
        <w:t>Resource register into SHIP</w:t>
      </w:r>
    </w:p>
    <w:p w14:paraId="17671E18" w14:textId="7280CB37" w:rsidR="00D65EA2" w:rsidRDefault="00D65EA2" w:rsidP="00782C67">
      <w:pPr>
        <w:pStyle w:val="ListParagraph"/>
        <w:ind w:left="0" w:right="-472"/>
        <w:jc w:val="both"/>
        <w:rPr>
          <w:rFonts w:eastAsia="Times New Roman"/>
          <w:b/>
          <w:bCs/>
          <w:color w:val="002060"/>
          <w:sz w:val="20"/>
          <w:szCs w:val="20"/>
        </w:rPr>
      </w:pPr>
      <w:r>
        <w:rPr>
          <w:rFonts w:eastAsia="Times New Roman"/>
          <w:color w:val="002060"/>
          <w:sz w:val="20"/>
          <w:szCs w:val="20"/>
        </w:rPr>
        <w:t>The Resource Register will be rolled into SHIP from November</w:t>
      </w:r>
      <w:r w:rsidR="00782C67">
        <w:rPr>
          <w:rFonts w:eastAsia="Times New Roman"/>
          <w:color w:val="002060"/>
          <w:sz w:val="20"/>
          <w:szCs w:val="20"/>
        </w:rPr>
        <w:t xml:space="preserve"> to create a Vacancy Management System within SHIP</w:t>
      </w:r>
      <w:r>
        <w:rPr>
          <w:rFonts w:eastAsia="Times New Roman"/>
          <w:color w:val="002060"/>
          <w:sz w:val="20"/>
          <w:szCs w:val="20"/>
        </w:rPr>
        <w:t>.  Non-SHIP agencies will receive a license to the Vacancy Management System in SHIP.  The new system will be tested from 21</w:t>
      </w:r>
      <w:r>
        <w:rPr>
          <w:rFonts w:eastAsia="Times New Roman"/>
          <w:color w:val="002060"/>
          <w:sz w:val="20"/>
          <w:szCs w:val="20"/>
          <w:vertAlign w:val="superscript"/>
        </w:rPr>
        <w:t>st</w:t>
      </w:r>
      <w:r>
        <w:rPr>
          <w:rFonts w:eastAsia="Times New Roman"/>
          <w:color w:val="002060"/>
          <w:sz w:val="20"/>
          <w:szCs w:val="20"/>
        </w:rPr>
        <w:t xml:space="preserve"> September.</w:t>
      </w:r>
      <w:r>
        <w:rPr>
          <w:rFonts w:eastAsia="Times New Roman"/>
          <w:b/>
          <w:bCs/>
          <w:color w:val="002060"/>
          <w:sz w:val="20"/>
          <w:szCs w:val="20"/>
        </w:rPr>
        <w:t xml:space="preserve"> </w:t>
      </w:r>
      <w:r>
        <w:rPr>
          <w:rFonts w:eastAsia="Times New Roman"/>
          <w:b/>
          <w:bCs/>
          <w:color w:val="002060"/>
          <w:sz w:val="20"/>
          <w:szCs w:val="20"/>
        </w:rPr>
        <w:tab/>
      </w:r>
    </w:p>
    <w:p w14:paraId="5200ED73" w14:textId="08A237E9" w:rsidR="009A1499" w:rsidRDefault="009A1499" w:rsidP="00782C67">
      <w:pPr>
        <w:pStyle w:val="ListParagraph"/>
        <w:ind w:left="0" w:right="-472"/>
        <w:jc w:val="both"/>
        <w:rPr>
          <w:rFonts w:eastAsia="Times New Roman"/>
          <w:b/>
          <w:bCs/>
          <w:color w:val="002060"/>
          <w:sz w:val="20"/>
          <w:szCs w:val="20"/>
        </w:rPr>
      </w:pPr>
    </w:p>
    <w:p w14:paraId="5247A508" w14:textId="22F46DD5" w:rsidR="009A1499" w:rsidRDefault="009A1499" w:rsidP="009A1499">
      <w:pPr>
        <w:pStyle w:val="ListParagraph"/>
        <w:ind w:left="0" w:right="-472" w:hanging="567"/>
        <w:jc w:val="both"/>
        <w:rPr>
          <w:rFonts w:eastAsia="Times New Roman"/>
          <w:b/>
          <w:bCs/>
          <w:color w:val="002060"/>
          <w:sz w:val="20"/>
          <w:szCs w:val="20"/>
        </w:rPr>
      </w:pPr>
      <w:r>
        <w:rPr>
          <w:rFonts w:eastAsia="Times New Roman"/>
          <w:b/>
          <w:bCs/>
          <w:noProof/>
          <w:color w:val="002060"/>
          <w:sz w:val="20"/>
          <w:szCs w:val="20"/>
        </w:rPr>
        <w:drawing>
          <wp:inline distT="0" distB="0" distL="0" distR="0" wp14:anchorId="16264173" wp14:editId="05C6E20E">
            <wp:extent cx="6623172" cy="2676525"/>
            <wp:effectExtent l="0" t="0" r="635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social media post&#10;&#10;Description automatically generated"/>
                    <pic:cNvPicPr/>
                  </pic:nvPicPr>
                  <pic:blipFill>
                    <a:blip r:embed="rId11"/>
                    <a:stretch>
                      <a:fillRect/>
                    </a:stretch>
                  </pic:blipFill>
                  <pic:spPr>
                    <a:xfrm>
                      <a:off x="0" y="0"/>
                      <a:ext cx="6679890" cy="2699446"/>
                    </a:xfrm>
                    <a:prstGeom prst="rect">
                      <a:avLst/>
                    </a:prstGeom>
                  </pic:spPr>
                </pic:pic>
              </a:graphicData>
            </a:graphic>
          </wp:inline>
        </w:drawing>
      </w:r>
    </w:p>
    <w:p w14:paraId="69FA460C" w14:textId="77777777" w:rsidR="00D65EA2" w:rsidRDefault="00D65EA2" w:rsidP="00D65EA2">
      <w:pPr>
        <w:pStyle w:val="ListParagraph"/>
        <w:ind w:left="0" w:right="-472" w:hanging="567"/>
        <w:jc w:val="both"/>
        <w:rPr>
          <w:rFonts w:eastAsia="Times New Roman"/>
          <w:b/>
          <w:bCs/>
          <w:color w:val="002060"/>
          <w:sz w:val="20"/>
          <w:szCs w:val="20"/>
        </w:rPr>
      </w:pPr>
    </w:p>
    <w:p w14:paraId="415E3791" w14:textId="1BA7F918" w:rsidR="00D65EA2" w:rsidRDefault="00D65EA2" w:rsidP="00782C67">
      <w:pPr>
        <w:pStyle w:val="ListParagraph"/>
        <w:ind w:left="0" w:right="-472"/>
        <w:jc w:val="both"/>
        <w:rPr>
          <w:rFonts w:eastAsia="Times New Roman"/>
          <w:color w:val="002060"/>
          <w:sz w:val="20"/>
          <w:szCs w:val="20"/>
        </w:rPr>
      </w:pPr>
      <w:r>
        <w:rPr>
          <w:rFonts w:eastAsia="Times New Roman"/>
          <w:color w:val="002060"/>
          <w:sz w:val="20"/>
          <w:szCs w:val="20"/>
        </w:rPr>
        <w:t>Vacancies will be listed by workgroup so, if one workgroup in an agency advertises multiple vacancy types (</w:t>
      </w:r>
      <w:proofErr w:type="spellStart"/>
      <w:r>
        <w:rPr>
          <w:rFonts w:eastAsia="Times New Roman"/>
          <w:color w:val="002060"/>
          <w:sz w:val="20"/>
          <w:szCs w:val="20"/>
        </w:rPr>
        <w:t>i.e</w:t>
      </w:r>
      <w:proofErr w:type="spellEnd"/>
      <w:r>
        <w:rPr>
          <w:rFonts w:eastAsia="Times New Roman"/>
          <w:color w:val="002060"/>
          <w:sz w:val="20"/>
          <w:szCs w:val="20"/>
        </w:rPr>
        <w:t xml:space="preserve"> case management support, IR 2, brokerage, HEART support), then the information about these vacancies will be combined in one place.  Similarly, e referrals will all be forwarded to one place</w:t>
      </w:r>
      <w:r w:rsidR="00782C67">
        <w:rPr>
          <w:rFonts w:eastAsia="Times New Roman"/>
          <w:color w:val="002060"/>
          <w:sz w:val="20"/>
          <w:szCs w:val="20"/>
        </w:rPr>
        <w:t xml:space="preserve"> per workgroup</w:t>
      </w:r>
      <w:r>
        <w:rPr>
          <w:rFonts w:eastAsia="Times New Roman"/>
          <w:color w:val="002060"/>
          <w:sz w:val="20"/>
          <w:szCs w:val="20"/>
        </w:rPr>
        <w:t>.</w:t>
      </w:r>
      <w:r w:rsidR="00782C67">
        <w:rPr>
          <w:rFonts w:eastAsia="Times New Roman"/>
          <w:color w:val="002060"/>
          <w:sz w:val="20"/>
          <w:szCs w:val="20"/>
        </w:rPr>
        <w:tab/>
      </w:r>
      <w:r>
        <w:rPr>
          <w:rFonts w:eastAsia="Times New Roman"/>
          <w:color w:val="002060"/>
          <w:sz w:val="20"/>
          <w:szCs w:val="20"/>
        </w:rPr>
        <w:br/>
      </w:r>
      <w:r>
        <w:rPr>
          <w:rFonts w:eastAsia="Times New Roman"/>
          <w:color w:val="002060"/>
          <w:sz w:val="20"/>
          <w:szCs w:val="20"/>
        </w:rPr>
        <w:br/>
        <w:t>Agencies can request that additional SHIP workgroups be established. Information can be shared across workgroups by creating clusters.  The creation of additional workgroups will lead to separate SHIP reporting for each workgroup.</w:t>
      </w:r>
    </w:p>
    <w:p w14:paraId="56867D28" w14:textId="77777777" w:rsidR="00D65EA2" w:rsidRDefault="00D65EA2" w:rsidP="00D65EA2">
      <w:pPr>
        <w:pStyle w:val="ListParagraph"/>
        <w:ind w:left="0" w:right="-472" w:hanging="567"/>
        <w:jc w:val="both"/>
        <w:rPr>
          <w:rFonts w:eastAsia="Times New Roman"/>
          <w:color w:val="002060"/>
          <w:sz w:val="20"/>
          <w:szCs w:val="20"/>
        </w:rPr>
      </w:pPr>
    </w:p>
    <w:p w14:paraId="007C4C50" w14:textId="77777777" w:rsidR="00D65EA2" w:rsidRDefault="00D65EA2" w:rsidP="00782C67">
      <w:pPr>
        <w:pStyle w:val="ListParagraph"/>
        <w:ind w:left="426" w:right="-472" w:hanging="426"/>
        <w:jc w:val="both"/>
        <w:rPr>
          <w:rFonts w:eastAsia="Times New Roman"/>
          <w:b/>
          <w:bCs/>
          <w:color w:val="C00000"/>
          <w:sz w:val="20"/>
          <w:szCs w:val="20"/>
        </w:rPr>
      </w:pPr>
      <w:r>
        <w:rPr>
          <w:rFonts w:eastAsia="Times New Roman"/>
          <w:b/>
          <w:bCs/>
          <w:color w:val="C00000"/>
          <w:sz w:val="20"/>
          <w:szCs w:val="20"/>
        </w:rPr>
        <w:t>Action:</w:t>
      </w:r>
    </w:p>
    <w:p w14:paraId="3B88584D" w14:textId="4F6C78F8" w:rsidR="00D65EA2" w:rsidRDefault="00D65EA2" w:rsidP="00782C67">
      <w:pPr>
        <w:pStyle w:val="ListParagraph"/>
        <w:numPr>
          <w:ilvl w:val="1"/>
          <w:numId w:val="9"/>
        </w:numPr>
        <w:spacing w:after="0" w:line="240" w:lineRule="auto"/>
        <w:ind w:left="426" w:right="-472" w:hanging="426"/>
        <w:contextualSpacing w:val="0"/>
        <w:jc w:val="both"/>
        <w:rPr>
          <w:rFonts w:eastAsia="Times New Roman"/>
          <w:color w:val="002060"/>
          <w:sz w:val="20"/>
          <w:szCs w:val="20"/>
        </w:rPr>
      </w:pPr>
      <w:r>
        <w:rPr>
          <w:rFonts w:eastAsia="Times New Roman"/>
          <w:b/>
          <w:bCs/>
          <w:color w:val="C00000"/>
          <w:sz w:val="20"/>
          <w:szCs w:val="20"/>
        </w:rPr>
        <w:t>WLASN agencies</w:t>
      </w:r>
      <w:r>
        <w:rPr>
          <w:rFonts w:eastAsia="Times New Roman"/>
          <w:color w:val="002060"/>
          <w:sz w:val="20"/>
          <w:szCs w:val="20"/>
        </w:rPr>
        <w:t xml:space="preserve"> should contact Sarah</w:t>
      </w:r>
      <w:r w:rsidR="00782C67">
        <w:rPr>
          <w:rFonts w:eastAsia="Times New Roman"/>
          <w:color w:val="002060"/>
          <w:sz w:val="20"/>
          <w:szCs w:val="20"/>
        </w:rPr>
        <w:t xml:space="preserve"> (sarah@wombat.org.au)</w:t>
      </w:r>
      <w:r>
        <w:rPr>
          <w:rFonts w:eastAsia="Times New Roman"/>
          <w:color w:val="002060"/>
          <w:sz w:val="20"/>
          <w:szCs w:val="20"/>
        </w:rPr>
        <w:t xml:space="preserve">, if they think they need additional workgroups in SHIP to help differentiate between vacancies and </w:t>
      </w:r>
      <w:proofErr w:type="spellStart"/>
      <w:r>
        <w:rPr>
          <w:rFonts w:eastAsia="Times New Roman"/>
          <w:color w:val="002060"/>
          <w:sz w:val="20"/>
          <w:szCs w:val="20"/>
        </w:rPr>
        <w:t>ereferrals</w:t>
      </w:r>
      <w:proofErr w:type="spellEnd"/>
      <w:r>
        <w:rPr>
          <w:rFonts w:eastAsia="Times New Roman"/>
          <w:color w:val="002060"/>
          <w:sz w:val="20"/>
          <w:szCs w:val="20"/>
        </w:rPr>
        <w:t xml:space="preserve"> to different programs.</w:t>
      </w:r>
    </w:p>
    <w:p w14:paraId="7EAA2A6B" w14:textId="77777777" w:rsidR="00782C67" w:rsidRDefault="00782C67" w:rsidP="00782C67">
      <w:pPr>
        <w:pStyle w:val="Heading3"/>
        <w:keepNext/>
        <w:spacing w:before="60" w:beforeAutospacing="0" w:after="0" w:afterAutospacing="0" w:line="276" w:lineRule="auto"/>
        <w:ind w:right="-472"/>
        <w:rPr>
          <w:color w:val="002060"/>
          <w:sz w:val="22"/>
          <w:szCs w:val="22"/>
        </w:rPr>
      </w:pPr>
    </w:p>
    <w:p w14:paraId="227F8387" w14:textId="083F4797" w:rsidR="00D65EA2" w:rsidRDefault="00D65EA2" w:rsidP="00782C67">
      <w:pPr>
        <w:pStyle w:val="Heading3"/>
        <w:keepNext/>
        <w:spacing w:before="60" w:beforeAutospacing="0" w:after="0" w:afterAutospacing="0" w:line="276" w:lineRule="auto"/>
        <w:ind w:right="-472"/>
        <w:rPr>
          <w:color w:val="002060"/>
          <w:sz w:val="22"/>
          <w:szCs w:val="22"/>
        </w:rPr>
      </w:pPr>
      <w:r>
        <w:rPr>
          <w:color w:val="002060"/>
          <w:sz w:val="22"/>
          <w:szCs w:val="22"/>
        </w:rPr>
        <w:t>MARAM into SHIP</w:t>
      </w:r>
    </w:p>
    <w:p w14:paraId="10E5866C" w14:textId="03F4DDA8" w:rsidR="00D65EA2" w:rsidRDefault="00D65EA2" w:rsidP="00782C67">
      <w:pPr>
        <w:ind w:right="-472"/>
        <w:rPr>
          <w:color w:val="002060"/>
          <w:sz w:val="20"/>
          <w:szCs w:val="20"/>
        </w:rPr>
      </w:pPr>
      <w:r>
        <w:rPr>
          <w:color w:val="002060"/>
          <w:sz w:val="20"/>
          <w:szCs w:val="20"/>
        </w:rPr>
        <w:t>The MARAM tools will be introduced into SHIP from 31</w:t>
      </w:r>
      <w:r>
        <w:rPr>
          <w:color w:val="002060"/>
          <w:sz w:val="20"/>
          <w:szCs w:val="20"/>
          <w:vertAlign w:val="superscript"/>
        </w:rPr>
        <w:t>st</w:t>
      </w:r>
      <w:r>
        <w:rPr>
          <w:color w:val="002060"/>
          <w:sz w:val="20"/>
          <w:szCs w:val="20"/>
        </w:rPr>
        <w:t xml:space="preserve"> August.  The CRAF tools will be removed after four months. Staff must have completed MARAM training prior to using the tools.</w:t>
      </w:r>
    </w:p>
    <w:p w14:paraId="63E83040" w14:textId="5ED2DC4A" w:rsidR="00D865B4" w:rsidRPr="00CC6D5D" w:rsidRDefault="00D865B4" w:rsidP="009F44AC">
      <w:pPr>
        <w:ind w:right="-472"/>
        <w:jc w:val="both"/>
        <w:rPr>
          <w:color w:val="002060"/>
          <w:sz w:val="20"/>
          <w:szCs w:val="20"/>
        </w:rPr>
      </w:pPr>
      <w:r w:rsidRPr="009F44AC">
        <w:rPr>
          <w:color w:val="002060"/>
          <w:sz w:val="20"/>
          <w:szCs w:val="20"/>
        </w:rPr>
        <w:t xml:space="preserve">You can find the </w:t>
      </w:r>
      <w:r w:rsidR="00F23301" w:rsidRPr="009F44AC">
        <w:rPr>
          <w:color w:val="002060"/>
          <w:sz w:val="20"/>
          <w:szCs w:val="20"/>
        </w:rPr>
        <w:t>an Introduction to the MARAM Tools, a MARAM Cheat sheet, a</w:t>
      </w:r>
      <w:r w:rsidRPr="009F44AC">
        <w:rPr>
          <w:color w:val="002060"/>
          <w:sz w:val="20"/>
          <w:szCs w:val="20"/>
        </w:rPr>
        <w:t xml:space="preserve"> FAQ </w:t>
      </w:r>
      <w:r w:rsidR="00F23301" w:rsidRPr="009F44AC">
        <w:rPr>
          <w:color w:val="002060"/>
          <w:sz w:val="20"/>
          <w:szCs w:val="20"/>
        </w:rPr>
        <w:t xml:space="preserve">document and </w:t>
      </w:r>
      <w:r w:rsidR="00AE5D15" w:rsidRPr="009F44AC">
        <w:rPr>
          <w:color w:val="002060"/>
          <w:sz w:val="20"/>
          <w:szCs w:val="20"/>
        </w:rPr>
        <w:t xml:space="preserve">a MARAM in SHIP user guide </w:t>
      </w:r>
      <w:r w:rsidR="009F44AC" w:rsidRPr="009F44AC">
        <w:rPr>
          <w:color w:val="002060"/>
          <w:sz w:val="20"/>
          <w:szCs w:val="20"/>
        </w:rPr>
        <w:t xml:space="preserve">by accessing the </w:t>
      </w:r>
      <w:r w:rsidRPr="009F44AC">
        <w:rPr>
          <w:b/>
          <w:bCs/>
          <w:color w:val="002060"/>
          <w:sz w:val="20"/>
          <w:szCs w:val="20"/>
        </w:rPr>
        <w:t xml:space="preserve">“MARAM Tools in SHIP” folder </w:t>
      </w:r>
      <w:hyperlink r:id="rId12" w:history="1">
        <w:r w:rsidR="00B71E23" w:rsidRPr="00B71E23">
          <w:rPr>
            <w:rStyle w:val="Hyperlink"/>
            <w:sz w:val="20"/>
            <w:szCs w:val="20"/>
          </w:rPr>
          <w:t>here</w:t>
        </w:r>
      </w:hyperlink>
      <w:r w:rsidR="00CC6D5D">
        <w:rPr>
          <w:rStyle w:val="Hyperlink"/>
          <w:sz w:val="20"/>
          <w:szCs w:val="20"/>
        </w:rPr>
        <w:t xml:space="preserve">  </w:t>
      </w:r>
      <w:r w:rsidR="008F767C">
        <w:rPr>
          <w:rStyle w:val="Hyperlink"/>
          <w:color w:val="002060"/>
          <w:sz w:val="20"/>
          <w:szCs w:val="20"/>
          <w:u w:val="none"/>
        </w:rPr>
        <w:t>. MARAM Guides can be found at:</w:t>
      </w:r>
      <w:r w:rsidR="00CC6D5D" w:rsidRPr="00CC6D5D">
        <w:rPr>
          <w:rStyle w:val="Hyperlink"/>
          <w:color w:val="002060"/>
          <w:sz w:val="20"/>
          <w:szCs w:val="20"/>
        </w:rPr>
        <w:t xml:space="preserve"> </w:t>
      </w:r>
      <w:hyperlink r:id="rId13" w:history="1">
        <w:r w:rsidR="00CC6D5D" w:rsidRPr="00CC6D5D">
          <w:rPr>
            <w:rStyle w:val="Hyperlink"/>
            <w:sz w:val="20"/>
            <w:szCs w:val="20"/>
          </w:rPr>
          <w:t>https://www.vic.gov.au/maram-practice-guides-and-resources</w:t>
        </w:r>
      </w:hyperlink>
      <w:r w:rsidR="00B71E23" w:rsidRPr="00CC6D5D">
        <w:rPr>
          <w:color w:val="002060"/>
          <w:sz w:val="20"/>
          <w:szCs w:val="20"/>
        </w:rPr>
        <w:t xml:space="preserve">. </w:t>
      </w:r>
      <w:r w:rsidRPr="00CC6D5D">
        <w:rPr>
          <w:sz w:val="20"/>
          <w:szCs w:val="20"/>
        </w:rPr>
        <w:t xml:space="preserve"> </w:t>
      </w:r>
    </w:p>
    <w:p w14:paraId="6DCE0408" w14:textId="66B39653" w:rsidR="00D65EA2" w:rsidRDefault="00D65EA2" w:rsidP="004F449D">
      <w:pPr>
        <w:pStyle w:val="ListParagraph"/>
        <w:ind w:left="0" w:right="-472"/>
        <w:jc w:val="both"/>
        <w:rPr>
          <w:rFonts w:eastAsia="Times New Roman"/>
          <w:color w:val="002060"/>
          <w:sz w:val="20"/>
          <w:szCs w:val="20"/>
        </w:rPr>
      </w:pPr>
      <w:r>
        <w:rPr>
          <w:rFonts w:eastAsia="Times New Roman"/>
          <w:b/>
          <w:bCs/>
          <w:color w:val="002060"/>
          <w:sz w:val="20"/>
          <w:szCs w:val="20"/>
        </w:rPr>
        <w:t>MARAM Training</w:t>
      </w:r>
      <w:r>
        <w:rPr>
          <w:rFonts w:eastAsia="Times New Roman"/>
          <w:color w:val="002060"/>
          <w:sz w:val="20"/>
          <w:szCs w:val="20"/>
        </w:rPr>
        <w:t xml:space="preserve"> - It is encouraged that all practitioners complete the MARAM Brief and Intermediate Assessment training before using the tools. This training is being delivered by CFECFW. </w:t>
      </w:r>
      <w:proofErr w:type="gramStart"/>
      <w:r>
        <w:rPr>
          <w:rFonts w:eastAsia="Times New Roman"/>
          <w:color w:val="002060"/>
          <w:sz w:val="20"/>
          <w:szCs w:val="20"/>
        </w:rPr>
        <w:t>All of</w:t>
      </w:r>
      <w:proofErr w:type="gramEnd"/>
      <w:r>
        <w:rPr>
          <w:rFonts w:eastAsia="Times New Roman"/>
          <w:color w:val="002060"/>
          <w:sz w:val="20"/>
          <w:szCs w:val="20"/>
        </w:rPr>
        <w:t xml:space="preserve"> the current sessions are booked out. I will make some enquiries as to whether further opportunities will be made available and keep you all in the loop. </w:t>
      </w:r>
      <w:r>
        <w:rPr>
          <w:rFonts w:eastAsia="Times New Roman"/>
          <w:color w:val="002060"/>
          <w:sz w:val="20"/>
          <w:szCs w:val="20"/>
        </w:rPr>
        <w:lastRenderedPageBreak/>
        <w:t xml:space="preserve">The link to the training is - </w:t>
      </w:r>
      <w:hyperlink r:id="rId14" w:history="1">
        <w:r>
          <w:rPr>
            <w:rStyle w:val="Hyperlink"/>
            <w:color w:val="002060"/>
            <w:sz w:val="20"/>
            <w:szCs w:val="20"/>
          </w:rPr>
          <w:t>https://www.cfecfw.asn.au/maram-training-2020/</w:t>
        </w:r>
      </w:hyperlink>
      <w:r>
        <w:rPr>
          <w:rFonts w:eastAsia="Times New Roman"/>
          <w:color w:val="002060"/>
          <w:sz w:val="20"/>
          <w:szCs w:val="20"/>
        </w:rPr>
        <w:t xml:space="preserve"> - if you’d like to make your own enquiries.</w:t>
      </w:r>
      <w:r>
        <w:rPr>
          <w:rFonts w:eastAsia="Times New Roman"/>
          <w:color w:val="002060"/>
          <w:sz w:val="20"/>
          <w:szCs w:val="20"/>
        </w:rPr>
        <w:tab/>
      </w:r>
    </w:p>
    <w:p w14:paraId="129ADA94" w14:textId="59C00CDF" w:rsidR="00E648BE" w:rsidRDefault="00E648BE" w:rsidP="004F449D">
      <w:pPr>
        <w:pStyle w:val="ListParagraph"/>
        <w:ind w:left="0" w:right="-472"/>
        <w:jc w:val="both"/>
        <w:rPr>
          <w:rFonts w:eastAsia="Times New Roman"/>
          <w:color w:val="002060"/>
          <w:sz w:val="20"/>
          <w:szCs w:val="20"/>
        </w:rPr>
      </w:pPr>
    </w:p>
    <w:p w14:paraId="39727BBF" w14:textId="121BE49B" w:rsidR="00E648BE" w:rsidRPr="00E648BE" w:rsidRDefault="00E648BE" w:rsidP="00E648BE">
      <w:pPr>
        <w:jc w:val="both"/>
        <w:rPr>
          <w:rFonts w:eastAsia="Times New Roman"/>
          <w:color w:val="002060"/>
          <w:sz w:val="20"/>
          <w:szCs w:val="20"/>
        </w:rPr>
      </w:pPr>
      <w:r>
        <w:rPr>
          <w:rFonts w:eastAsia="Times New Roman"/>
          <w:color w:val="002060"/>
          <w:sz w:val="20"/>
          <w:szCs w:val="20"/>
        </w:rPr>
        <w:t>T</w:t>
      </w:r>
      <w:r w:rsidRPr="00E648BE">
        <w:rPr>
          <w:rFonts w:eastAsia="Times New Roman"/>
          <w:color w:val="002060"/>
          <w:sz w:val="20"/>
          <w:szCs w:val="20"/>
        </w:rPr>
        <w:t>he MARAM tools are available for inclusion as part of an e-referral</w:t>
      </w:r>
      <w:r>
        <w:rPr>
          <w:rFonts w:eastAsia="Times New Roman"/>
          <w:color w:val="002060"/>
          <w:sz w:val="20"/>
          <w:szCs w:val="20"/>
        </w:rPr>
        <w:t xml:space="preserve"> for any agencies that are</w:t>
      </w:r>
      <w:r w:rsidRPr="00E648BE">
        <w:rPr>
          <w:rFonts w:eastAsia="Times New Roman"/>
          <w:color w:val="002060"/>
          <w:sz w:val="20"/>
          <w:szCs w:val="20"/>
        </w:rPr>
        <w:t xml:space="preserve"> configured for e-referrals.</w:t>
      </w:r>
    </w:p>
    <w:p w14:paraId="37BAAE30" w14:textId="18C96134" w:rsidR="00E648BE" w:rsidRPr="004F449D" w:rsidRDefault="0080527E" w:rsidP="0080527E">
      <w:pPr>
        <w:jc w:val="both"/>
        <w:rPr>
          <w:rFonts w:eastAsia="Times New Roman"/>
          <w:color w:val="002060"/>
          <w:sz w:val="20"/>
          <w:szCs w:val="20"/>
        </w:rPr>
      </w:pPr>
      <w:r>
        <w:rPr>
          <w:rFonts w:eastAsia="Times New Roman"/>
          <w:color w:val="002060"/>
          <w:sz w:val="20"/>
          <w:szCs w:val="20"/>
        </w:rPr>
        <w:t>When</w:t>
      </w:r>
      <w:r w:rsidR="00E648BE" w:rsidRPr="00E648BE">
        <w:rPr>
          <w:rFonts w:eastAsia="Times New Roman"/>
          <w:color w:val="002060"/>
          <w:sz w:val="20"/>
          <w:szCs w:val="20"/>
        </w:rPr>
        <w:t xml:space="preserve"> you’re in the e-referrals window there’s a button under Attachments that </w:t>
      </w:r>
      <w:proofErr w:type="gramStart"/>
      <w:r w:rsidR="00E648BE" w:rsidRPr="00E648BE">
        <w:rPr>
          <w:rFonts w:eastAsia="Times New Roman"/>
          <w:color w:val="002060"/>
          <w:sz w:val="20"/>
          <w:szCs w:val="20"/>
        </w:rPr>
        <w:t>says</w:t>
      </w:r>
      <w:proofErr w:type="gramEnd"/>
      <w:r w:rsidR="00E648BE" w:rsidRPr="00E648BE">
        <w:rPr>
          <w:rFonts w:eastAsia="Times New Roman"/>
          <w:color w:val="002060"/>
          <w:sz w:val="20"/>
          <w:szCs w:val="20"/>
        </w:rPr>
        <w:t xml:space="preserve"> ‘Client file’. If you press this, a window displays that allows you to select things from the client’s file that you want to add to an e-referral, including any MARAM assessments/plans that may have been created for the client. When you select a MARAM assessment/plan to be added and press ‘Attach file’, the system will automatically create a PDF document of the risk assessment / plan and include it as part of the e-referral.</w:t>
      </w:r>
    </w:p>
    <w:p w14:paraId="137D913C" w14:textId="77777777" w:rsidR="00D65EA2" w:rsidRDefault="00D65EA2" w:rsidP="00D65EA2">
      <w:pPr>
        <w:pStyle w:val="Heading3"/>
        <w:keepNext/>
        <w:numPr>
          <w:ilvl w:val="2"/>
          <w:numId w:val="8"/>
        </w:numPr>
        <w:spacing w:before="60" w:beforeAutospacing="0" w:after="0" w:afterAutospacing="0" w:line="276" w:lineRule="auto"/>
        <w:ind w:left="0" w:right="-472" w:hanging="567"/>
        <w:rPr>
          <w:color w:val="002060"/>
          <w:sz w:val="22"/>
          <w:szCs w:val="22"/>
        </w:rPr>
      </w:pPr>
      <w:r>
        <w:rPr>
          <w:color w:val="002060"/>
          <w:sz w:val="22"/>
          <w:szCs w:val="22"/>
        </w:rPr>
        <w:t>Case note changes</w:t>
      </w:r>
    </w:p>
    <w:p w14:paraId="533954AE" w14:textId="77777777" w:rsidR="00D65EA2" w:rsidRPr="00782C67" w:rsidRDefault="00D65EA2" w:rsidP="00782C67">
      <w:pPr>
        <w:pStyle w:val="AIHWbodytext"/>
        <w:spacing w:before="0" w:after="0" w:line="240" w:lineRule="auto"/>
        <w:ind w:right="-472"/>
        <w:rPr>
          <w:rFonts w:cs="Calibri"/>
          <w:b/>
          <w:bCs/>
          <w:color w:val="002060"/>
          <w:sz w:val="20"/>
          <w:szCs w:val="20"/>
        </w:rPr>
      </w:pPr>
      <w:r w:rsidRPr="00782C67">
        <w:rPr>
          <w:rFonts w:asciiTheme="minorHAnsi" w:hAnsiTheme="minorHAnsi" w:cstheme="minorHAnsi"/>
          <w:color w:val="002060"/>
          <w:sz w:val="20"/>
          <w:szCs w:val="20"/>
        </w:rPr>
        <w:t xml:space="preserve">The AIHW has determined that too many services are creating case notes for clients for whom a support period is not created for.  The ‘SHS’ service button below will be ‘on’ as a default, which will require that a support period </w:t>
      </w:r>
      <w:proofErr w:type="gramStart"/>
      <w:r w:rsidRPr="00782C67">
        <w:rPr>
          <w:rFonts w:asciiTheme="minorHAnsi" w:hAnsiTheme="minorHAnsi" w:cstheme="minorHAnsi"/>
          <w:color w:val="002060"/>
          <w:sz w:val="20"/>
          <w:szCs w:val="20"/>
        </w:rPr>
        <w:t>is</w:t>
      </w:r>
      <w:proofErr w:type="gramEnd"/>
      <w:r w:rsidRPr="00782C67">
        <w:rPr>
          <w:rFonts w:asciiTheme="minorHAnsi" w:hAnsiTheme="minorHAnsi" w:cstheme="minorHAnsi"/>
          <w:color w:val="002060"/>
          <w:sz w:val="20"/>
          <w:szCs w:val="20"/>
        </w:rPr>
        <w:t xml:space="preserve"> created. To avoid having to create a case note, untick ‘SHS’ service. </w:t>
      </w:r>
      <w:r w:rsidRPr="00782C67">
        <w:rPr>
          <w:rFonts w:asciiTheme="minorHAnsi" w:hAnsiTheme="minorHAnsi" w:cstheme="minorHAnsi"/>
          <w:color w:val="002060"/>
          <w:sz w:val="20"/>
          <w:szCs w:val="20"/>
        </w:rPr>
        <w:tab/>
      </w:r>
      <w:r w:rsidRPr="00782C67">
        <w:rPr>
          <w:rFonts w:asciiTheme="minorHAnsi" w:hAnsiTheme="minorHAnsi" w:cstheme="minorHAnsi"/>
          <w:color w:val="002060"/>
          <w:sz w:val="20"/>
          <w:szCs w:val="20"/>
        </w:rPr>
        <w:br/>
      </w:r>
      <w:r w:rsidRPr="00782C67">
        <w:rPr>
          <w:rFonts w:asciiTheme="minorHAnsi" w:hAnsiTheme="minorHAnsi" w:cstheme="minorHAnsi"/>
          <w:color w:val="002060"/>
          <w:sz w:val="20"/>
          <w:szCs w:val="20"/>
        </w:rPr>
        <w:br/>
        <w:t>The AIHW would be interested to know about circumstances in which services write case notes without creating a support period.</w:t>
      </w:r>
      <w:r w:rsidRPr="00782C67">
        <w:rPr>
          <w:rFonts w:cs="Calibri"/>
          <w:b/>
          <w:bCs/>
          <w:color w:val="002060"/>
          <w:sz w:val="20"/>
          <w:szCs w:val="20"/>
        </w:rPr>
        <w:tab/>
      </w:r>
    </w:p>
    <w:p w14:paraId="526CC09D" w14:textId="77777777" w:rsidR="00D65EA2" w:rsidRPr="00782C67" w:rsidRDefault="00D65EA2" w:rsidP="00782C67">
      <w:pPr>
        <w:pStyle w:val="AIHWbodytext"/>
        <w:spacing w:before="0" w:after="0" w:line="240" w:lineRule="auto"/>
        <w:ind w:right="-472"/>
        <w:rPr>
          <w:rFonts w:cs="Calibri"/>
          <w:b/>
          <w:bCs/>
          <w:color w:val="002060"/>
          <w:sz w:val="20"/>
          <w:szCs w:val="20"/>
        </w:rPr>
      </w:pPr>
    </w:p>
    <w:p w14:paraId="31262FC9" w14:textId="77777777" w:rsidR="00D65EA2" w:rsidRPr="00782C67" w:rsidRDefault="00D65EA2" w:rsidP="00782C67">
      <w:pPr>
        <w:pStyle w:val="AIHWbodytext"/>
        <w:spacing w:before="0" w:after="0" w:line="240" w:lineRule="auto"/>
        <w:ind w:right="-472"/>
        <w:rPr>
          <w:rFonts w:ascii="Calibri" w:eastAsia="Times New Roman" w:hAnsi="Calibri" w:cs="Calibri"/>
          <w:color w:val="002060"/>
          <w:sz w:val="20"/>
          <w:szCs w:val="20"/>
          <w:lang w:eastAsia="en-AU"/>
        </w:rPr>
      </w:pPr>
      <w:r w:rsidRPr="00782C67">
        <w:rPr>
          <w:rFonts w:ascii="Calibri" w:hAnsi="Calibri" w:cs="Calibri"/>
          <w:color w:val="002060"/>
          <w:sz w:val="20"/>
          <w:szCs w:val="20"/>
          <w:lang w:eastAsia="en-AU"/>
        </w:rPr>
        <w:t>From 1 September 2020 the Note form will be changed to include:</w:t>
      </w:r>
    </w:p>
    <w:p w14:paraId="21040950" w14:textId="77777777" w:rsidR="00D65EA2" w:rsidRPr="00782C67" w:rsidRDefault="00D65EA2" w:rsidP="00782C67">
      <w:pPr>
        <w:pStyle w:val="AIHWbodytext"/>
        <w:numPr>
          <w:ilvl w:val="0"/>
          <w:numId w:val="10"/>
        </w:numPr>
        <w:spacing w:after="0" w:line="240" w:lineRule="auto"/>
        <w:ind w:left="426" w:right="-472" w:hanging="426"/>
        <w:rPr>
          <w:rFonts w:ascii="Calibri" w:eastAsia="Calibri" w:hAnsi="Calibri" w:cs="Calibri"/>
          <w:color w:val="002060"/>
          <w:sz w:val="20"/>
          <w:szCs w:val="20"/>
          <w:lang w:eastAsia="en-AU"/>
        </w:rPr>
      </w:pPr>
      <w:r w:rsidRPr="00782C67">
        <w:rPr>
          <w:rFonts w:ascii="Calibri" w:hAnsi="Calibri" w:cs="Calibri"/>
          <w:color w:val="002060"/>
          <w:sz w:val="20"/>
          <w:szCs w:val="20"/>
          <w:lang w:eastAsia="en-AU"/>
        </w:rPr>
        <w:t>a ‘SHS Service’ check box, which indicates whether services reported in that Note are SHS services or are not SHS services</w:t>
      </w:r>
    </w:p>
    <w:p w14:paraId="32E60CFE" w14:textId="77777777" w:rsidR="00D65EA2" w:rsidRPr="00782C67" w:rsidRDefault="00D65EA2" w:rsidP="00782C67">
      <w:pPr>
        <w:pStyle w:val="AIHWbodytext"/>
        <w:numPr>
          <w:ilvl w:val="0"/>
          <w:numId w:val="10"/>
        </w:numPr>
        <w:spacing w:after="0" w:line="240" w:lineRule="auto"/>
        <w:ind w:left="426" w:right="-472" w:hanging="426"/>
        <w:rPr>
          <w:rFonts w:ascii="Calibri" w:hAnsi="Calibri" w:cs="Calibri"/>
          <w:color w:val="002060"/>
          <w:sz w:val="20"/>
          <w:szCs w:val="20"/>
        </w:rPr>
      </w:pPr>
      <w:r w:rsidRPr="00782C67">
        <w:rPr>
          <w:rFonts w:ascii="Calibri" w:hAnsi="Calibri" w:cs="Calibri"/>
          <w:color w:val="002060"/>
          <w:sz w:val="20"/>
          <w:szCs w:val="20"/>
          <w:lang w:eastAsia="en-AU"/>
        </w:rPr>
        <w:t>a visual indicator (</w:t>
      </w:r>
      <w:proofErr w:type="spellStart"/>
      <w:r w:rsidRPr="00782C67">
        <w:rPr>
          <w:rFonts w:ascii="Calibri" w:hAnsi="Calibri" w:cs="Calibri"/>
          <w:color w:val="002060"/>
          <w:sz w:val="20"/>
          <w:szCs w:val="20"/>
          <w:lang w:eastAsia="en-AU"/>
        </w:rPr>
        <w:t>ie</w:t>
      </w:r>
      <w:proofErr w:type="spellEnd"/>
      <w:r w:rsidRPr="00782C67">
        <w:rPr>
          <w:rFonts w:ascii="Calibri" w:hAnsi="Calibri" w:cs="Calibri"/>
          <w:color w:val="002060"/>
          <w:sz w:val="20"/>
          <w:szCs w:val="20"/>
          <w:lang w:eastAsia="en-AU"/>
        </w:rPr>
        <w:t xml:space="preserve">. house icon) of whether a support period exists for the client. </w:t>
      </w:r>
      <w:r w:rsidRPr="00782C67">
        <w:rPr>
          <w:rFonts w:ascii="Calibri" w:hAnsi="Calibri" w:cs="Calibri"/>
          <w:color w:val="002060"/>
          <w:sz w:val="20"/>
          <w:szCs w:val="20"/>
          <w:lang w:eastAsia="en-AU"/>
        </w:rPr>
        <w:br/>
      </w:r>
    </w:p>
    <w:p w14:paraId="3E8D3853" w14:textId="546596EF" w:rsidR="00D65EA2" w:rsidRDefault="00D65EA2" w:rsidP="00782C67">
      <w:pPr>
        <w:pStyle w:val="AIHWbodytext"/>
        <w:spacing w:before="0" w:after="0" w:line="240" w:lineRule="auto"/>
        <w:ind w:right="-472" w:firstLine="426"/>
        <w:rPr>
          <w:rFonts w:ascii="Calibri" w:hAnsi="Calibri" w:cs="Calibri"/>
        </w:rPr>
      </w:pPr>
      <w:r>
        <w:rPr>
          <w:noProof/>
          <w:lang w:eastAsia="en-AU"/>
        </w:rPr>
        <w:drawing>
          <wp:inline distT="0" distB="0" distL="0" distR="0" wp14:anchorId="4C5A1F9D" wp14:editId="22BD54A9">
            <wp:extent cx="3371850" cy="275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2752725"/>
                    </a:xfrm>
                    <a:prstGeom prst="rect">
                      <a:avLst/>
                    </a:prstGeom>
                    <a:noFill/>
                    <a:ln>
                      <a:noFill/>
                    </a:ln>
                  </pic:spPr>
                </pic:pic>
              </a:graphicData>
            </a:graphic>
          </wp:inline>
        </w:drawing>
      </w:r>
    </w:p>
    <w:p w14:paraId="4AB6B001" w14:textId="77777777" w:rsidR="00D65EA2" w:rsidRDefault="00D65EA2" w:rsidP="00D65EA2">
      <w:pPr>
        <w:ind w:right="-472" w:hanging="567"/>
        <w:rPr>
          <w:rFonts w:ascii="Calibri" w:hAnsi="Calibri" w:cs="Times New Roman"/>
        </w:rPr>
      </w:pPr>
    </w:p>
    <w:p w14:paraId="77ADFA74" w14:textId="1A5CCBF6" w:rsidR="00103E95" w:rsidRPr="00103E95" w:rsidRDefault="00D65EA2" w:rsidP="0004760D">
      <w:pPr>
        <w:spacing w:after="0"/>
        <w:ind w:right="-613"/>
        <w:rPr>
          <w:color w:val="002060"/>
          <w:sz w:val="20"/>
          <w:szCs w:val="20"/>
        </w:rPr>
      </w:pPr>
      <w:r>
        <w:rPr>
          <w:color w:val="002060"/>
          <w:sz w:val="20"/>
          <w:szCs w:val="20"/>
        </w:rPr>
        <w:t>If services want to record a case note but not create a support period, they will need to ‘untick’ the ‘SHS service’ box.</w:t>
      </w:r>
    </w:p>
    <w:p w14:paraId="686E292D" w14:textId="5DE8F0C6" w:rsidR="00103E95" w:rsidRDefault="00103E95" w:rsidP="00EB467F">
      <w:pPr>
        <w:autoSpaceDE w:val="0"/>
        <w:autoSpaceDN w:val="0"/>
        <w:adjustRightInd w:val="0"/>
        <w:spacing w:before="240" w:after="27" w:line="240" w:lineRule="auto"/>
        <w:jc w:val="both"/>
        <w:rPr>
          <w:rFonts w:cstheme="minorHAnsi"/>
          <w:color w:val="002060"/>
          <w:sz w:val="20"/>
          <w:szCs w:val="20"/>
        </w:rPr>
      </w:pPr>
      <w:r w:rsidRPr="00103E95">
        <w:rPr>
          <w:rFonts w:cstheme="minorHAnsi"/>
          <w:color w:val="002060"/>
          <w:sz w:val="20"/>
          <w:szCs w:val="20"/>
        </w:rPr>
        <w:t xml:space="preserve">A detailed description of the changes and how to complete the new Note form is provided on the AIHW website and can be accessed via this </w:t>
      </w:r>
      <w:hyperlink r:id="rId16" w:history="1">
        <w:r w:rsidRPr="00103E95">
          <w:rPr>
            <w:rStyle w:val="Hyperlink"/>
            <w:rFonts w:cstheme="minorHAnsi"/>
            <w:b/>
            <w:bCs/>
            <w:sz w:val="20"/>
            <w:szCs w:val="20"/>
          </w:rPr>
          <w:t>link</w:t>
        </w:r>
      </w:hyperlink>
      <w:r w:rsidR="00EB467F">
        <w:rPr>
          <w:rFonts w:cstheme="minorHAnsi"/>
          <w:b/>
          <w:bCs/>
          <w:color w:val="002060"/>
          <w:sz w:val="20"/>
          <w:szCs w:val="20"/>
        </w:rPr>
        <w:t xml:space="preserve"> (</w:t>
      </w:r>
      <w:hyperlink r:id="rId17" w:history="1">
        <w:r w:rsidR="00EB467F">
          <w:rPr>
            <w:rStyle w:val="Hyperlink"/>
          </w:rPr>
          <w:t>https://www.aihw.gov.au/about-our-data/our-data-collections/specialist-homelessness-services-collection/shs-elearning</w:t>
        </w:r>
      </w:hyperlink>
      <w:r w:rsidR="00EB467F">
        <w:t>)</w:t>
      </w:r>
      <w:r w:rsidRPr="00103E95">
        <w:rPr>
          <w:rFonts w:cstheme="minorHAnsi"/>
          <w:color w:val="002060"/>
          <w:sz w:val="20"/>
          <w:szCs w:val="20"/>
        </w:rPr>
        <w:t xml:space="preserve">. </w:t>
      </w:r>
    </w:p>
    <w:p w14:paraId="109FCD0D" w14:textId="77777777" w:rsidR="00103E95" w:rsidRPr="00103E95" w:rsidRDefault="00103E95" w:rsidP="00103E95">
      <w:pPr>
        <w:autoSpaceDE w:val="0"/>
        <w:autoSpaceDN w:val="0"/>
        <w:adjustRightInd w:val="0"/>
        <w:spacing w:after="27" w:line="240" w:lineRule="auto"/>
        <w:jc w:val="both"/>
        <w:rPr>
          <w:rFonts w:cstheme="minorHAnsi"/>
          <w:color w:val="002060"/>
          <w:sz w:val="20"/>
          <w:szCs w:val="20"/>
        </w:rPr>
      </w:pPr>
    </w:p>
    <w:p w14:paraId="652E990F" w14:textId="31E9D1C2" w:rsidR="00103E95" w:rsidRDefault="00103E95" w:rsidP="00103E95">
      <w:pPr>
        <w:autoSpaceDE w:val="0"/>
        <w:autoSpaceDN w:val="0"/>
        <w:adjustRightInd w:val="0"/>
        <w:spacing w:after="0" w:line="240" w:lineRule="auto"/>
        <w:jc w:val="both"/>
        <w:rPr>
          <w:rFonts w:cstheme="minorHAnsi"/>
          <w:color w:val="002060"/>
          <w:sz w:val="20"/>
          <w:szCs w:val="20"/>
        </w:rPr>
      </w:pPr>
      <w:r w:rsidRPr="00103E95">
        <w:rPr>
          <w:rFonts w:cstheme="minorHAnsi"/>
          <w:color w:val="002060"/>
          <w:sz w:val="20"/>
          <w:szCs w:val="20"/>
        </w:rPr>
        <w:t xml:space="preserve"> An e-learning video showing these data quality enhancements can be accessed via this </w:t>
      </w:r>
      <w:hyperlink r:id="rId18" w:history="1">
        <w:r w:rsidRPr="00103E95">
          <w:rPr>
            <w:rStyle w:val="Hyperlink"/>
            <w:rFonts w:cstheme="minorHAnsi"/>
            <w:b/>
            <w:bCs/>
            <w:sz w:val="20"/>
            <w:szCs w:val="20"/>
          </w:rPr>
          <w:t>link</w:t>
        </w:r>
      </w:hyperlink>
      <w:r w:rsidR="00E04C70">
        <w:rPr>
          <w:rFonts w:cstheme="minorHAnsi"/>
          <w:b/>
          <w:bCs/>
          <w:color w:val="002060"/>
          <w:sz w:val="20"/>
          <w:szCs w:val="20"/>
        </w:rPr>
        <w:t xml:space="preserve"> (</w:t>
      </w:r>
      <w:hyperlink r:id="rId19" w:history="1">
        <w:r w:rsidR="00E04C70" w:rsidRPr="009276AE">
          <w:rPr>
            <w:rStyle w:val="Hyperlink"/>
          </w:rPr>
          <w:t>https://www.youtube.com/watch?v=v-Y4WtwN6XA&amp;feature=youtu.be</w:t>
        </w:r>
      </w:hyperlink>
      <w:r w:rsidR="00E04C70">
        <w:t>)</w:t>
      </w:r>
      <w:r w:rsidRPr="00103E95">
        <w:rPr>
          <w:rFonts w:cstheme="minorHAnsi"/>
          <w:color w:val="002060"/>
          <w:sz w:val="20"/>
          <w:szCs w:val="20"/>
        </w:rPr>
        <w:t>. The lesson has also been added to the SHS eLearning course under the topic Recording Services (</w:t>
      </w:r>
      <w:r w:rsidRPr="00103E95">
        <w:rPr>
          <w:rFonts w:cstheme="minorHAnsi"/>
          <w:b/>
          <w:bCs/>
          <w:color w:val="002060"/>
          <w:sz w:val="20"/>
          <w:szCs w:val="20"/>
        </w:rPr>
        <w:t>link</w:t>
      </w:r>
      <w:r w:rsidRPr="00103E95">
        <w:rPr>
          <w:rFonts w:cstheme="minorHAnsi"/>
          <w:color w:val="002060"/>
          <w:sz w:val="20"/>
          <w:szCs w:val="20"/>
        </w:rPr>
        <w:t xml:space="preserve">). </w:t>
      </w:r>
    </w:p>
    <w:p w14:paraId="7220CDA0" w14:textId="6F7D5E45" w:rsidR="00B01989" w:rsidRDefault="00B01989" w:rsidP="00103E95">
      <w:pPr>
        <w:autoSpaceDE w:val="0"/>
        <w:autoSpaceDN w:val="0"/>
        <w:adjustRightInd w:val="0"/>
        <w:spacing w:after="0" w:line="240" w:lineRule="auto"/>
        <w:jc w:val="both"/>
        <w:rPr>
          <w:rFonts w:cstheme="minorHAnsi"/>
          <w:color w:val="002060"/>
          <w:sz w:val="20"/>
          <w:szCs w:val="20"/>
        </w:rPr>
      </w:pPr>
    </w:p>
    <w:p w14:paraId="0A282051" w14:textId="77777777" w:rsidR="00B01989" w:rsidRPr="00B01989" w:rsidRDefault="00B01989" w:rsidP="00B01989">
      <w:pPr>
        <w:pStyle w:val="Heading3"/>
        <w:keepNext/>
        <w:numPr>
          <w:ilvl w:val="2"/>
          <w:numId w:val="8"/>
        </w:numPr>
        <w:spacing w:before="60" w:beforeAutospacing="0" w:after="0" w:afterAutospacing="0" w:line="276" w:lineRule="auto"/>
        <w:ind w:left="0" w:right="-472" w:hanging="567"/>
        <w:rPr>
          <w:color w:val="002060"/>
          <w:sz w:val="22"/>
          <w:szCs w:val="22"/>
        </w:rPr>
      </w:pPr>
      <w:r w:rsidRPr="00B01989">
        <w:rPr>
          <w:color w:val="002060"/>
          <w:sz w:val="22"/>
          <w:szCs w:val="22"/>
        </w:rPr>
        <w:lastRenderedPageBreak/>
        <w:t xml:space="preserve">SHIP Custom data query tool </w:t>
      </w:r>
    </w:p>
    <w:p w14:paraId="406C76D4" w14:textId="77777777" w:rsidR="00B01989" w:rsidRPr="00B01989" w:rsidRDefault="00B01989" w:rsidP="00B01989">
      <w:pPr>
        <w:pStyle w:val="Heading3"/>
        <w:keepNext/>
        <w:spacing w:before="60" w:beforeAutospacing="0" w:after="0" w:afterAutospacing="0" w:line="276" w:lineRule="auto"/>
        <w:ind w:right="-472"/>
        <w:jc w:val="both"/>
        <w:rPr>
          <w:rFonts w:asciiTheme="minorHAnsi" w:hAnsiTheme="minorHAnsi" w:cstheme="minorHAnsi"/>
          <w:b w:val="0"/>
          <w:bCs w:val="0"/>
          <w:color w:val="002060"/>
          <w:sz w:val="20"/>
          <w:szCs w:val="20"/>
        </w:rPr>
      </w:pPr>
      <w:r w:rsidRPr="00B01989">
        <w:rPr>
          <w:rFonts w:asciiTheme="minorHAnsi" w:hAnsiTheme="minorHAnsi" w:cstheme="minorHAnsi"/>
          <w:b w:val="0"/>
          <w:bCs w:val="0"/>
          <w:color w:val="002060"/>
          <w:sz w:val="20"/>
          <w:szCs w:val="20"/>
        </w:rPr>
        <w:t xml:space="preserve">A new tool has been released to SHIP, providing users with the ability to conduct detailed data analysis. The new tool enables a user to: </w:t>
      </w:r>
    </w:p>
    <w:p w14:paraId="1C176DB9" w14:textId="1459DEC0" w:rsidR="00B01989" w:rsidRPr="00B01989" w:rsidRDefault="00B01989" w:rsidP="00B01989">
      <w:pPr>
        <w:pStyle w:val="Heading3"/>
        <w:keepNext/>
        <w:numPr>
          <w:ilvl w:val="0"/>
          <w:numId w:val="15"/>
        </w:numPr>
        <w:spacing w:before="60" w:beforeAutospacing="0" w:after="0" w:afterAutospacing="0" w:line="276" w:lineRule="auto"/>
        <w:ind w:right="-472"/>
        <w:jc w:val="both"/>
        <w:rPr>
          <w:rFonts w:asciiTheme="minorHAnsi" w:hAnsiTheme="minorHAnsi" w:cstheme="minorHAnsi"/>
          <w:b w:val="0"/>
          <w:bCs w:val="0"/>
          <w:color w:val="002060"/>
          <w:sz w:val="20"/>
          <w:szCs w:val="20"/>
        </w:rPr>
      </w:pPr>
      <w:r w:rsidRPr="00B01989">
        <w:rPr>
          <w:rFonts w:asciiTheme="minorHAnsi" w:hAnsiTheme="minorHAnsi" w:cstheme="minorHAnsi"/>
          <w:b w:val="0"/>
          <w:bCs w:val="0"/>
          <w:color w:val="002060"/>
          <w:sz w:val="20"/>
          <w:szCs w:val="20"/>
        </w:rPr>
        <w:t xml:space="preserve">Create custom queries of client data, which can be written for execution immediately, or saved for future use. </w:t>
      </w:r>
    </w:p>
    <w:p w14:paraId="2BD900E8" w14:textId="77777777" w:rsidR="00B01989" w:rsidRPr="00B01989" w:rsidRDefault="00B01989" w:rsidP="00B01989">
      <w:pPr>
        <w:pStyle w:val="Heading3"/>
        <w:keepNext/>
        <w:numPr>
          <w:ilvl w:val="0"/>
          <w:numId w:val="15"/>
        </w:numPr>
        <w:spacing w:before="60" w:beforeAutospacing="0" w:after="0" w:afterAutospacing="0" w:line="276" w:lineRule="auto"/>
        <w:ind w:right="-472"/>
        <w:jc w:val="both"/>
        <w:rPr>
          <w:rFonts w:asciiTheme="minorHAnsi" w:hAnsiTheme="minorHAnsi" w:cstheme="minorHAnsi"/>
          <w:b w:val="0"/>
          <w:bCs w:val="0"/>
          <w:color w:val="002060"/>
          <w:sz w:val="20"/>
          <w:szCs w:val="20"/>
        </w:rPr>
      </w:pPr>
      <w:r w:rsidRPr="00B01989">
        <w:rPr>
          <w:rFonts w:asciiTheme="minorHAnsi" w:hAnsiTheme="minorHAnsi" w:cstheme="minorHAnsi"/>
          <w:b w:val="0"/>
          <w:bCs w:val="0"/>
          <w:color w:val="002060"/>
          <w:sz w:val="20"/>
          <w:szCs w:val="20"/>
        </w:rPr>
        <w:t xml:space="preserve">Output individual client records into lists. </w:t>
      </w:r>
    </w:p>
    <w:p w14:paraId="2648B5E9" w14:textId="02B9C576" w:rsidR="00B01989" w:rsidRPr="00B01989" w:rsidRDefault="00B01989" w:rsidP="00B01989">
      <w:pPr>
        <w:pStyle w:val="Heading3"/>
        <w:keepNext/>
        <w:numPr>
          <w:ilvl w:val="0"/>
          <w:numId w:val="15"/>
        </w:numPr>
        <w:spacing w:before="60" w:beforeAutospacing="0" w:after="0" w:afterAutospacing="0" w:line="276" w:lineRule="auto"/>
        <w:ind w:right="-472"/>
        <w:jc w:val="both"/>
        <w:rPr>
          <w:rFonts w:asciiTheme="minorHAnsi" w:hAnsiTheme="minorHAnsi" w:cstheme="minorHAnsi"/>
          <w:b w:val="0"/>
          <w:bCs w:val="0"/>
          <w:color w:val="002060"/>
          <w:sz w:val="20"/>
          <w:szCs w:val="20"/>
        </w:rPr>
      </w:pPr>
      <w:r w:rsidRPr="00B01989">
        <w:rPr>
          <w:rFonts w:asciiTheme="minorHAnsi" w:hAnsiTheme="minorHAnsi" w:cstheme="minorHAnsi"/>
          <w:b w:val="0"/>
          <w:bCs w:val="0"/>
          <w:color w:val="002060"/>
          <w:sz w:val="20"/>
          <w:szCs w:val="20"/>
        </w:rPr>
        <w:t xml:space="preserve">Join data from SHS client, support period and collection period tables. </w:t>
      </w:r>
    </w:p>
    <w:p w14:paraId="4E777AEB" w14:textId="77777777" w:rsidR="00B01989" w:rsidRPr="00B01989" w:rsidRDefault="00B01989" w:rsidP="00B01989">
      <w:pPr>
        <w:pStyle w:val="Heading3"/>
        <w:keepNext/>
        <w:spacing w:before="60" w:beforeAutospacing="0" w:after="0" w:afterAutospacing="0" w:line="276" w:lineRule="auto"/>
        <w:ind w:left="-567" w:right="-472"/>
        <w:jc w:val="both"/>
        <w:rPr>
          <w:rFonts w:asciiTheme="minorHAnsi" w:hAnsiTheme="minorHAnsi" w:cstheme="minorHAnsi"/>
          <w:b w:val="0"/>
          <w:bCs w:val="0"/>
          <w:color w:val="002060"/>
          <w:sz w:val="20"/>
          <w:szCs w:val="20"/>
        </w:rPr>
      </w:pPr>
    </w:p>
    <w:p w14:paraId="379673AE" w14:textId="58B369F4" w:rsidR="00B01989" w:rsidRPr="00B01989" w:rsidRDefault="00B01989" w:rsidP="00B01989">
      <w:pPr>
        <w:pStyle w:val="Heading3"/>
        <w:keepNext/>
        <w:spacing w:before="60" w:beforeAutospacing="0" w:after="0" w:afterAutospacing="0" w:line="276" w:lineRule="auto"/>
        <w:ind w:right="-472"/>
        <w:jc w:val="both"/>
        <w:rPr>
          <w:rFonts w:asciiTheme="minorHAnsi" w:hAnsiTheme="minorHAnsi" w:cstheme="minorHAnsi"/>
          <w:b w:val="0"/>
          <w:bCs w:val="0"/>
          <w:color w:val="002060"/>
          <w:sz w:val="20"/>
          <w:szCs w:val="20"/>
        </w:rPr>
      </w:pPr>
      <w:r w:rsidRPr="00B01989">
        <w:rPr>
          <w:rFonts w:asciiTheme="minorHAnsi" w:hAnsiTheme="minorHAnsi" w:cstheme="minorHAnsi"/>
          <w:b w:val="0"/>
          <w:bCs w:val="0"/>
          <w:color w:val="002060"/>
          <w:sz w:val="20"/>
          <w:szCs w:val="20"/>
        </w:rPr>
        <w:t>A document explaining the new tool and to assist users to navigate the new function is available on the SHIP help pages, search ‘Custom query tool’. Please contact the SHIP support hotline 1800 627 191 (opt. 1) if you require any additional support.</w:t>
      </w:r>
    </w:p>
    <w:p w14:paraId="14A7E06A" w14:textId="77777777" w:rsidR="00103E95" w:rsidRPr="00EC29F0" w:rsidRDefault="00103E95" w:rsidP="002B140F">
      <w:pPr>
        <w:spacing w:after="0"/>
        <w:ind w:right="-613"/>
        <w:rPr>
          <w:color w:val="002060"/>
          <w:sz w:val="20"/>
          <w:szCs w:val="20"/>
        </w:rPr>
      </w:pPr>
    </w:p>
    <w:p w14:paraId="2AFE8AD7" w14:textId="12B03C45" w:rsidR="00417420" w:rsidRDefault="00417420" w:rsidP="00267DE3">
      <w:pPr>
        <w:jc w:val="center"/>
        <w:rPr>
          <w:rFonts w:ascii="Calibri" w:eastAsia="MS Mincho" w:hAnsi="Calibri"/>
          <w:b/>
          <w:color w:val="008000"/>
          <w:sz w:val="32"/>
          <w:szCs w:val="32"/>
        </w:rPr>
      </w:pPr>
      <w:proofErr w:type="spellStart"/>
      <w:r>
        <w:rPr>
          <w:rFonts w:ascii="Calibri" w:eastAsia="MS Mincho" w:hAnsi="Calibri"/>
          <w:b/>
          <w:color w:val="008000"/>
          <w:sz w:val="32"/>
          <w:szCs w:val="32"/>
        </w:rPr>
        <w:t>Ereferral</w:t>
      </w:r>
      <w:proofErr w:type="spellEnd"/>
    </w:p>
    <w:p w14:paraId="26D9627E" w14:textId="2EE07D99" w:rsidR="00DD01BB" w:rsidRPr="00DD01BB" w:rsidRDefault="00A23378" w:rsidP="00583785">
      <w:pPr>
        <w:ind w:left="-567" w:right="-613"/>
        <w:jc w:val="both"/>
        <w:rPr>
          <w:color w:val="002060"/>
          <w:sz w:val="20"/>
          <w:szCs w:val="20"/>
        </w:rPr>
      </w:pPr>
      <w:r w:rsidRPr="00A23378">
        <w:rPr>
          <w:color w:val="002060"/>
          <w:sz w:val="20"/>
          <w:szCs w:val="20"/>
        </w:rPr>
        <w:t>In July 2018 DHHS introduced an e referral capacity into SHIP</w:t>
      </w:r>
      <w:r w:rsidR="00583785">
        <w:rPr>
          <w:color w:val="002060"/>
          <w:sz w:val="20"/>
          <w:szCs w:val="20"/>
        </w:rPr>
        <w:t xml:space="preserve">. </w:t>
      </w:r>
      <w:r w:rsidR="00DD01BB">
        <w:t>‘</w:t>
      </w:r>
      <w:proofErr w:type="spellStart"/>
      <w:r w:rsidR="00DD01BB" w:rsidRPr="00DD01BB">
        <w:rPr>
          <w:color w:val="002060"/>
          <w:sz w:val="20"/>
          <w:szCs w:val="20"/>
        </w:rPr>
        <w:t>Ereferral</w:t>
      </w:r>
      <w:proofErr w:type="spellEnd"/>
      <w:r w:rsidR="00DD01BB" w:rsidRPr="00DD01BB">
        <w:rPr>
          <w:color w:val="002060"/>
          <w:sz w:val="20"/>
          <w:szCs w:val="20"/>
        </w:rPr>
        <w:t xml:space="preserve">’ refers to an enhancement to the referral tab on SHIP that enables SHIP and SRS users to send, receive and respond to referrals from other SHIP/SRS users electronically. </w:t>
      </w:r>
    </w:p>
    <w:p w14:paraId="25B5D620" w14:textId="7CA44B6B" w:rsidR="00DD01BB" w:rsidRDefault="00DD01BB" w:rsidP="00DD01BB">
      <w:pPr>
        <w:ind w:left="-567" w:right="-613"/>
        <w:jc w:val="both"/>
        <w:rPr>
          <w:color w:val="002060"/>
          <w:sz w:val="20"/>
          <w:szCs w:val="20"/>
        </w:rPr>
      </w:pPr>
      <w:r w:rsidRPr="00DD01BB">
        <w:rPr>
          <w:color w:val="002060"/>
          <w:sz w:val="20"/>
          <w:szCs w:val="20"/>
        </w:rPr>
        <w:t>The aim of this enhancement is to reduce time taken processing referrals and improve of the security of client information that has is currently being transferred by email/fax.</w:t>
      </w:r>
    </w:p>
    <w:p w14:paraId="4CF7D203" w14:textId="6F235749" w:rsidR="008407D9" w:rsidRPr="00A23378" w:rsidRDefault="008407D9" w:rsidP="00A23378">
      <w:pPr>
        <w:ind w:left="-567" w:right="-613"/>
        <w:jc w:val="both"/>
        <w:rPr>
          <w:color w:val="002060"/>
          <w:sz w:val="20"/>
          <w:szCs w:val="20"/>
        </w:rPr>
      </w:pPr>
      <w:r>
        <w:rPr>
          <w:color w:val="002060"/>
          <w:sz w:val="20"/>
          <w:szCs w:val="20"/>
        </w:rPr>
        <w:t xml:space="preserve">Some things to note are: </w:t>
      </w:r>
    </w:p>
    <w:p w14:paraId="280E36BC" w14:textId="34D8CB97" w:rsidR="00A23378" w:rsidRPr="008407D9" w:rsidRDefault="00A23378" w:rsidP="008407D9">
      <w:pPr>
        <w:pStyle w:val="ListParagraph"/>
        <w:numPr>
          <w:ilvl w:val="0"/>
          <w:numId w:val="12"/>
        </w:numPr>
        <w:spacing w:before="120" w:after="0" w:line="240" w:lineRule="auto"/>
        <w:ind w:right="-613"/>
        <w:jc w:val="both"/>
        <w:rPr>
          <w:rFonts w:cstheme="minorHAnsi"/>
          <w:color w:val="002060"/>
          <w:sz w:val="20"/>
          <w:szCs w:val="20"/>
        </w:rPr>
      </w:pPr>
      <w:r w:rsidRPr="008407D9">
        <w:rPr>
          <w:rFonts w:cstheme="minorHAnsi"/>
          <w:color w:val="002060"/>
          <w:sz w:val="20"/>
          <w:szCs w:val="20"/>
        </w:rPr>
        <w:t xml:space="preserve">Call ahead before you send an </w:t>
      </w:r>
      <w:proofErr w:type="spellStart"/>
      <w:r w:rsidRPr="008407D9">
        <w:rPr>
          <w:rFonts w:cstheme="minorHAnsi"/>
          <w:color w:val="002060"/>
          <w:sz w:val="20"/>
          <w:szCs w:val="20"/>
        </w:rPr>
        <w:t>ereferral</w:t>
      </w:r>
      <w:proofErr w:type="spellEnd"/>
      <w:r w:rsidRPr="008407D9">
        <w:rPr>
          <w:rFonts w:cstheme="minorHAnsi"/>
          <w:color w:val="002060"/>
          <w:sz w:val="20"/>
          <w:szCs w:val="20"/>
        </w:rPr>
        <w:t xml:space="preserve">! This is very important for </w:t>
      </w:r>
      <w:proofErr w:type="gramStart"/>
      <w:r w:rsidRPr="008407D9">
        <w:rPr>
          <w:rFonts w:cstheme="minorHAnsi"/>
          <w:color w:val="002060"/>
          <w:sz w:val="20"/>
          <w:szCs w:val="20"/>
        </w:rPr>
        <w:t>a number of</w:t>
      </w:r>
      <w:proofErr w:type="gramEnd"/>
      <w:r w:rsidRPr="008407D9">
        <w:rPr>
          <w:rFonts w:cstheme="minorHAnsi"/>
          <w:color w:val="002060"/>
          <w:sz w:val="20"/>
          <w:szCs w:val="20"/>
        </w:rPr>
        <w:t xml:space="preserve"> reasons. A key one is you will need to check if the provider is set up to receive </w:t>
      </w:r>
      <w:proofErr w:type="spellStart"/>
      <w:r w:rsidRPr="008407D9">
        <w:rPr>
          <w:rFonts w:cstheme="minorHAnsi"/>
          <w:color w:val="002060"/>
          <w:sz w:val="20"/>
          <w:szCs w:val="20"/>
        </w:rPr>
        <w:t>ereferrals</w:t>
      </w:r>
      <w:proofErr w:type="spellEnd"/>
      <w:r w:rsidRPr="008407D9">
        <w:rPr>
          <w:rFonts w:cstheme="minorHAnsi"/>
          <w:color w:val="002060"/>
          <w:sz w:val="20"/>
          <w:szCs w:val="20"/>
        </w:rPr>
        <w:t xml:space="preserve"> and knows to check their referral tab. Otherwise </w:t>
      </w:r>
      <w:proofErr w:type="spellStart"/>
      <w:r w:rsidRPr="008407D9">
        <w:rPr>
          <w:rFonts w:cstheme="minorHAnsi"/>
          <w:color w:val="002060"/>
          <w:sz w:val="20"/>
          <w:szCs w:val="20"/>
        </w:rPr>
        <w:t>ereferrals</w:t>
      </w:r>
      <w:proofErr w:type="spellEnd"/>
      <w:r w:rsidRPr="008407D9">
        <w:rPr>
          <w:rFonts w:cstheme="minorHAnsi"/>
          <w:color w:val="002060"/>
          <w:sz w:val="20"/>
          <w:szCs w:val="20"/>
        </w:rPr>
        <w:t xml:space="preserve"> may go unnoticed. </w:t>
      </w:r>
      <w:r w:rsidR="008407D9">
        <w:rPr>
          <w:rFonts w:cstheme="minorHAnsi"/>
          <w:color w:val="002060"/>
          <w:sz w:val="20"/>
          <w:szCs w:val="20"/>
        </w:rPr>
        <w:tab/>
      </w:r>
      <w:r w:rsidR="008407D9">
        <w:rPr>
          <w:rFonts w:cstheme="minorHAnsi"/>
          <w:color w:val="002060"/>
          <w:sz w:val="20"/>
          <w:szCs w:val="20"/>
        </w:rPr>
        <w:br/>
      </w:r>
    </w:p>
    <w:p w14:paraId="1440E7F4" w14:textId="2459B4EA" w:rsidR="00417420" w:rsidRPr="002606AC" w:rsidRDefault="00A23378" w:rsidP="008407D9">
      <w:pPr>
        <w:pStyle w:val="ListParagraph"/>
        <w:numPr>
          <w:ilvl w:val="0"/>
          <w:numId w:val="12"/>
        </w:numPr>
        <w:ind w:right="-613"/>
        <w:jc w:val="both"/>
        <w:rPr>
          <w:rFonts w:eastAsia="MS Mincho" w:cstheme="minorHAnsi"/>
          <w:b/>
          <w:color w:val="002060"/>
          <w:sz w:val="20"/>
          <w:szCs w:val="20"/>
        </w:rPr>
      </w:pPr>
      <w:r w:rsidRPr="008407D9">
        <w:rPr>
          <w:rFonts w:cstheme="minorHAnsi"/>
          <w:color w:val="002060"/>
          <w:sz w:val="20"/>
          <w:szCs w:val="20"/>
        </w:rPr>
        <w:t xml:space="preserve">Services will be identified by their current Service Seeker description. Make sure you are configured as best reflects your service including the contact person. Check on Service Seeker </w:t>
      </w:r>
      <w:hyperlink r:id="rId20" w:history="1">
        <w:r w:rsidR="00636507" w:rsidRPr="00A404D1">
          <w:rPr>
            <w:rStyle w:val="Hyperlink"/>
            <w:rFonts w:cstheme="minorHAnsi"/>
            <w:sz w:val="20"/>
            <w:szCs w:val="20"/>
          </w:rPr>
          <w:t>website</w:t>
        </w:r>
        <w:r w:rsidR="00636507" w:rsidRPr="00A404D1">
          <w:rPr>
            <w:rStyle w:val="Hyperlink"/>
            <w:rFonts w:cstheme="minorHAnsi"/>
            <w:sz w:val="20"/>
            <w:szCs w:val="20"/>
          </w:rPr>
          <w:tab/>
          <w:t xml:space="preserve"> (https://www.serviceseeker.com.au/) </w:t>
        </w:r>
      </w:hyperlink>
      <w:r w:rsidRPr="008407D9">
        <w:rPr>
          <w:rFonts w:cstheme="minorHAnsi"/>
          <w:color w:val="002060"/>
          <w:sz w:val="20"/>
          <w:szCs w:val="20"/>
        </w:rPr>
        <w:t> and report changes if necessary using the form provided</w:t>
      </w:r>
    </w:p>
    <w:p w14:paraId="3390B0E7" w14:textId="77777777" w:rsidR="00636507" w:rsidRDefault="00636507" w:rsidP="000E54AB">
      <w:pPr>
        <w:spacing w:after="0" w:line="240" w:lineRule="auto"/>
        <w:ind w:left="-207"/>
        <w:rPr>
          <w:rFonts w:ascii="Arial" w:hAnsi="Arial" w:cs="Arial"/>
          <w:sz w:val="20"/>
          <w:szCs w:val="20"/>
        </w:rPr>
      </w:pPr>
    </w:p>
    <w:p w14:paraId="71F7E6A5" w14:textId="07ABCEF8" w:rsidR="000E54AB" w:rsidRPr="00176BDD" w:rsidRDefault="00636507" w:rsidP="003D75C8">
      <w:pPr>
        <w:spacing w:after="0" w:line="240" w:lineRule="auto"/>
        <w:ind w:left="-567" w:right="-613"/>
        <w:jc w:val="both"/>
        <w:rPr>
          <w:color w:val="002060"/>
          <w:sz w:val="20"/>
          <w:szCs w:val="20"/>
        </w:rPr>
      </w:pPr>
      <w:r w:rsidRPr="000E54AB">
        <w:rPr>
          <w:color w:val="002060"/>
          <w:sz w:val="20"/>
          <w:szCs w:val="20"/>
        </w:rPr>
        <w:t xml:space="preserve">DHHS has developed </w:t>
      </w:r>
      <w:proofErr w:type="spellStart"/>
      <w:r w:rsidRPr="000E54AB">
        <w:rPr>
          <w:b/>
          <w:bCs/>
          <w:i/>
          <w:iCs/>
          <w:color w:val="002060"/>
          <w:sz w:val="20"/>
          <w:szCs w:val="20"/>
        </w:rPr>
        <w:t>Ereferral</w:t>
      </w:r>
      <w:proofErr w:type="spellEnd"/>
      <w:r w:rsidRPr="000E54AB">
        <w:rPr>
          <w:b/>
          <w:bCs/>
          <w:i/>
          <w:iCs/>
          <w:color w:val="002060"/>
          <w:sz w:val="20"/>
          <w:szCs w:val="20"/>
        </w:rPr>
        <w:t xml:space="preserve"> </w:t>
      </w:r>
      <w:r w:rsidR="000E54AB" w:rsidRPr="000E54AB">
        <w:rPr>
          <w:b/>
          <w:bCs/>
          <w:i/>
          <w:iCs/>
          <w:color w:val="002060"/>
          <w:sz w:val="20"/>
          <w:szCs w:val="20"/>
        </w:rPr>
        <w:t>Instructions</w:t>
      </w:r>
      <w:r w:rsidR="000E54AB" w:rsidRPr="000E54AB">
        <w:rPr>
          <w:color w:val="002060"/>
          <w:sz w:val="20"/>
          <w:szCs w:val="20"/>
        </w:rPr>
        <w:t xml:space="preserve"> and an </w:t>
      </w:r>
      <w:proofErr w:type="spellStart"/>
      <w:r w:rsidR="000E54AB" w:rsidRPr="000E54AB">
        <w:rPr>
          <w:b/>
          <w:bCs/>
          <w:i/>
          <w:iCs/>
          <w:color w:val="002060"/>
          <w:sz w:val="20"/>
          <w:szCs w:val="20"/>
        </w:rPr>
        <w:t>Ereferral</w:t>
      </w:r>
      <w:proofErr w:type="spellEnd"/>
      <w:r w:rsidR="000E54AB" w:rsidRPr="000E54AB">
        <w:rPr>
          <w:b/>
          <w:bCs/>
          <w:i/>
          <w:iCs/>
          <w:color w:val="002060"/>
          <w:sz w:val="20"/>
          <w:szCs w:val="20"/>
        </w:rPr>
        <w:t xml:space="preserve"> Guideline and Implementation Protocol</w:t>
      </w:r>
      <w:r w:rsidR="000E54AB" w:rsidRPr="000E54AB">
        <w:rPr>
          <w:color w:val="002060"/>
          <w:sz w:val="20"/>
          <w:szCs w:val="20"/>
        </w:rPr>
        <w:t>.</w:t>
      </w:r>
      <w:r w:rsidR="000E54AB">
        <w:rPr>
          <w:color w:val="002060"/>
          <w:sz w:val="20"/>
          <w:szCs w:val="20"/>
        </w:rPr>
        <w:t xml:space="preserve"> In the first phase of implementation only access point services could send </w:t>
      </w:r>
      <w:proofErr w:type="spellStart"/>
      <w:r w:rsidR="000E54AB">
        <w:rPr>
          <w:color w:val="002060"/>
          <w:sz w:val="20"/>
          <w:szCs w:val="20"/>
        </w:rPr>
        <w:t>ereferrals</w:t>
      </w:r>
      <w:proofErr w:type="spellEnd"/>
      <w:r w:rsidR="000E54AB">
        <w:rPr>
          <w:color w:val="002060"/>
          <w:sz w:val="20"/>
          <w:szCs w:val="20"/>
        </w:rPr>
        <w:t xml:space="preserve"> but, in Phase 2, this facility was opened to all SHIP users.</w:t>
      </w:r>
      <w:r w:rsidR="00176BDD">
        <w:rPr>
          <w:color w:val="002060"/>
          <w:sz w:val="20"/>
          <w:szCs w:val="20"/>
        </w:rPr>
        <w:t xml:space="preserve"> A copy of the </w:t>
      </w:r>
      <w:proofErr w:type="spellStart"/>
      <w:r w:rsidR="00176BDD" w:rsidRPr="00176BDD">
        <w:rPr>
          <w:i/>
          <w:iCs/>
          <w:color w:val="002060"/>
          <w:sz w:val="20"/>
          <w:szCs w:val="20"/>
        </w:rPr>
        <w:t>Ereferral</w:t>
      </w:r>
      <w:proofErr w:type="spellEnd"/>
      <w:r w:rsidR="00176BDD" w:rsidRPr="00176BDD">
        <w:rPr>
          <w:i/>
          <w:iCs/>
          <w:color w:val="002060"/>
          <w:sz w:val="20"/>
          <w:szCs w:val="20"/>
        </w:rPr>
        <w:t xml:space="preserve"> instructions</w:t>
      </w:r>
      <w:r w:rsidR="00176BDD">
        <w:rPr>
          <w:color w:val="002060"/>
          <w:sz w:val="20"/>
          <w:szCs w:val="20"/>
        </w:rPr>
        <w:t xml:space="preserve"> can be found at the end of this page</w:t>
      </w:r>
      <w:r w:rsidR="00176BDD" w:rsidRPr="00176BDD">
        <w:rPr>
          <w:color w:val="002060"/>
          <w:sz w:val="20"/>
          <w:szCs w:val="20"/>
        </w:rPr>
        <w:t xml:space="preserve">: </w:t>
      </w:r>
      <w:hyperlink r:id="rId21" w:history="1">
        <w:r w:rsidR="00176BDD" w:rsidRPr="00176BDD">
          <w:rPr>
            <w:rStyle w:val="Hyperlink"/>
            <w:sz w:val="20"/>
            <w:szCs w:val="20"/>
          </w:rPr>
          <w:t>http://www.nwhn.net.au/Guiding-documents-for-homelessness-services/Statewide-guidelines.aspx</w:t>
        </w:r>
      </w:hyperlink>
    </w:p>
    <w:p w14:paraId="0C9B8494" w14:textId="77777777" w:rsidR="000E54AB" w:rsidRPr="000E54AB" w:rsidRDefault="000E54AB" w:rsidP="003D75C8">
      <w:pPr>
        <w:spacing w:after="0" w:line="240" w:lineRule="auto"/>
        <w:ind w:left="-567" w:right="-613"/>
        <w:jc w:val="both"/>
        <w:rPr>
          <w:color w:val="002060"/>
          <w:sz w:val="20"/>
          <w:szCs w:val="20"/>
        </w:rPr>
      </w:pPr>
    </w:p>
    <w:p w14:paraId="57662014" w14:textId="4539CAE7" w:rsidR="000E54AB" w:rsidRDefault="000E54AB" w:rsidP="003D75C8">
      <w:pPr>
        <w:spacing w:after="0" w:line="240" w:lineRule="auto"/>
        <w:ind w:left="-567"/>
        <w:jc w:val="both"/>
        <w:rPr>
          <w:color w:val="002060"/>
          <w:sz w:val="20"/>
          <w:szCs w:val="20"/>
        </w:rPr>
      </w:pPr>
      <w:r w:rsidRPr="000E54AB">
        <w:rPr>
          <w:color w:val="002060"/>
          <w:sz w:val="20"/>
          <w:szCs w:val="20"/>
        </w:rPr>
        <w:t xml:space="preserve">If you experience any technical issues with </w:t>
      </w:r>
      <w:proofErr w:type="spellStart"/>
      <w:r w:rsidRPr="000E54AB">
        <w:rPr>
          <w:color w:val="002060"/>
          <w:sz w:val="20"/>
          <w:szCs w:val="20"/>
        </w:rPr>
        <w:t>ereferral</w:t>
      </w:r>
      <w:proofErr w:type="spellEnd"/>
      <w:r w:rsidRPr="000E54AB">
        <w:rPr>
          <w:color w:val="002060"/>
          <w:sz w:val="20"/>
          <w:szCs w:val="20"/>
        </w:rPr>
        <w:t xml:space="preserve">, </w:t>
      </w:r>
      <w:r w:rsidR="002606AC" w:rsidRPr="000E54AB">
        <w:rPr>
          <w:color w:val="002060"/>
          <w:sz w:val="20"/>
          <w:szCs w:val="20"/>
        </w:rPr>
        <w:t xml:space="preserve">call 1 800 627 191. </w:t>
      </w:r>
    </w:p>
    <w:p w14:paraId="5529CF0B" w14:textId="77777777" w:rsidR="000E54AB" w:rsidRPr="000E54AB" w:rsidRDefault="000E54AB" w:rsidP="003D75C8">
      <w:pPr>
        <w:spacing w:after="0" w:line="240" w:lineRule="auto"/>
        <w:ind w:left="-567"/>
        <w:jc w:val="both"/>
        <w:rPr>
          <w:color w:val="002060"/>
          <w:sz w:val="20"/>
          <w:szCs w:val="20"/>
        </w:rPr>
      </w:pPr>
    </w:p>
    <w:p w14:paraId="480DB55A" w14:textId="2AB8933F" w:rsidR="002606AC" w:rsidRPr="000E54AB" w:rsidRDefault="000E54AB" w:rsidP="003D75C8">
      <w:pPr>
        <w:spacing w:after="0" w:line="240" w:lineRule="auto"/>
        <w:ind w:left="-567"/>
        <w:jc w:val="both"/>
        <w:rPr>
          <w:color w:val="002060"/>
          <w:sz w:val="20"/>
          <w:szCs w:val="20"/>
        </w:rPr>
      </w:pPr>
      <w:r w:rsidRPr="000E54AB">
        <w:rPr>
          <w:color w:val="002060"/>
          <w:sz w:val="20"/>
          <w:szCs w:val="20"/>
        </w:rPr>
        <w:t xml:space="preserve">If </w:t>
      </w:r>
      <w:r w:rsidR="002606AC" w:rsidRPr="000E54AB">
        <w:rPr>
          <w:color w:val="002060"/>
          <w:sz w:val="20"/>
          <w:szCs w:val="20"/>
        </w:rPr>
        <w:t xml:space="preserve">your provider description/contact needs updating, fill out the Service Seeker form </w:t>
      </w:r>
    </w:p>
    <w:p w14:paraId="111EE572" w14:textId="77777777" w:rsidR="002606AC" w:rsidRPr="002606AC" w:rsidRDefault="002606AC" w:rsidP="003D75C8">
      <w:pPr>
        <w:spacing w:after="0"/>
        <w:ind w:left="-567" w:right="-613"/>
        <w:jc w:val="both"/>
        <w:rPr>
          <w:rFonts w:eastAsia="MS Mincho" w:cstheme="minorHAnsi"/>
          <w:b/>
          <w:color w:val="002060"/>
          <w:sz w:val="20"/>
          <w:szCs w:val="20"/>
        </w:rPr>
      </w:pPr>
    </w:p>
    <w:p w14:paraId="38409D3F" w14:textId="77777777" w:rsidR="003D75C8" w:rsidRPr="003D75C8" w:rsidRDefault="003D75C8" w:rsidP="003D75C8">
      <w:pPr>
        <w:ind w:left="-567"/>
        <w:rPr>
          <w:rFonts w:ascii="Calibri" w:eastAsia="MS Mincho" w:hAnsi="Calibri"/>
          <w:bCs/>
          <w:color w:val="002060"/>
          <w:sz w:val="20"/>
          <w:szCs w:val="20"/>
        </w:rPr>
      </w:pPr>
      <w:r w:rsidRPr="003D75C8">
        <w:rPr>
          <w:rFonts w:ascii="Calibri" w:eastAsia="MS Mincho" w:hAnsi="Calibri"/>
          <w:bCs/>
          <w:color w:val="002060"/>
          <w:sz w:val="20"/>
          <w:szCs w:val="20"/>
        </w:rPr>
        <w:t>Sarah Langmore</w:t>
      </w:r>
      <w:r w:rsidRPr="003D75C8">
        <w:rPr>
          <w:rFonts w:ascii="Calibri" w:eastAsia="MS Mincho" w:hAnsi="Calibri"/>
          <w:bCs/>
          <w:color w:val="002060"/>
          <w:sz w:val="20"/>
          <w:szCs w:val="20"/>
        </w:rPr>
        <w:br/>
        <w:t>Western Homelessness Networker</w:t>
      </w:r>
    </w:p>
    <w:p w14:paraId="0B3B7074" w14:textId="5AF6BC7A" w:rsidR="002B140F" w:rsidRDefault="003D75C8" w:rsidP="003D75C8">
      <w:pPr>
        <w:ind w:left="-567"/>
        <w:rPr>
          <w:rFonts w:ascii="Calibri" w:eastAsia="MS Mincho" w:hAnsi="Calibri"/>
          <w:b/>
          <w:color w:val="008000"/>
          <w:sz w:val="32"/>
          <w:szCs w:val="32"/>
        </w:rPr>
      </w:pPr>
      <w:r w:rsidRPr="003D75C8">
        <w:rPr>
          <w:rFonts w:ascii="Calibri" w:eastAsia="MS Mincho" w:hAnsi="Calibri"/>
          <w:bCs/>
          <w:color w:val="002060"/>
          <w:sz w:val="20"/>
          <w:szCs w:val="20"/>
        </w:rPr>
        <w:t>31</w:t>
      </w:r>
      <w:r w:rsidRPr="003D75C8">
        <w:rPr>
          <w:rFonts w:ascii="Calibri" w:eastAsia="MS Mincho" w:hAnsi="Calibri"/>
          <w:bCs/>
          <w:color w:val="002060"/>
          <w:sz w:val="20"/>
          <w:szCs w:val="20"/>
          <w:vertAlign w:val="superscript"/>
        </w:rPr>
        <w:t>st</w:t>
      </w:r>
      <w:r w:rsidRPr="003D75C8">
        <w:rPr>
          <w:rFonts w:ascii="Calibri" w:eastAsia="MS Mincho" w:hAnsi="Calibri"/>
          <w:bCs/>
          <w:color w:val="002060"/>
          <w:sz w:val="20"/>
          <w:szCs w:val="20"/>
        </w:rPr>
        <w:t xml:space="preserve"> August 2020</w:t>
      </w:r>
      <w:r w:rsidR="002B140F">
        <w:rPr>
          <w:rFonts w:ascii="Calibri" w:eastAsia="MS Mincho" w:hAnsi="Calibri"/>
          <w:b/>
          <w:color w:val="008000"/>
          <w:sz w:val="32"/>
          <w:szCs w:val="32"/>
        </w:rPr>
        <w:br w:type="page"/>
      </w:r>
    </w:p>
    <w:p w14:paraId="586D1D94" w14:textId="6B53DC68" w:rsidR="00267DE3" w:rsidRPr="00267DE3" w:rsidRDefault="00567B5C" w:rsidP="00267DE3">
      <w:pPr>
        <w:jc w:val="center"/>
        <w:rPr>
          <w:rFonts w:ascii="Calibri" w:eastAsia="MS Mincho" w:hAnsi="Calibri"/>
          <w:b/>
          <w:color w:val="008000"/>
          <w:sz w:val="32"/>
          <w:szCs w:val="32"/>
        </w:rPr>
      </w:pPr>
      <w:r>
        <w:rPr>
          <w:rFonts w:ascii="Calibri" w:eastAsia="MS Mincho" w:hAnsi="Calibri"/>
          <w:b/>
          <w:color w:val="008000"/>
          <w:sz w:val="32"/>
          <w:szCs w:val="32"/>
        </w:rPr>
        <w:lastRenderedPageBreak/>
        <w:t xml:space="preserve">Improving </w:t>
      </w:r>
      <w:r w:rsidR="00267DE3" w:rsidRPr="00267DE3">
        <w:rPr>
          <w:rFonts w:ascii="Calibri" w:eastAsia="MS Mincho" w:hAnsi="Calibri"/>
          <w:b/>
          <w:color w:val="008000"/>
          <w:sz w:val="32"/>
          <w:szCs w:val="32"/>
        </w:rPr>
        <w:t>SHIP Data Integrity</w:t>
      </w:r>
    </w:p>
    <w:p w14:paraId="6D14989F" w14:textId="158B66BF" w:rsidR="002459F3" w:rsidRPr="004F449D" w:rsidRDefault="00267DE3" w:rsidP="004F449D">
      <w:pPr>
        <w:ind w:left="-567" w:right="-613"/>
        <w:jc w:val="both"/>
        <w:rPr>
          <w:color w:val="002060"/>
          <w:sz w:val="20"/>
          <w:szCs w:val="20"/>
        </w:rPr>
      </w:pPr>
      <w:r w:rsidRPr="004F449D">
        <w:rPr>
          <w:color w:val="002060"/>
          <w:sz w:val="20"/>
          <w:szCs w:val="20"/>
        </w:rPr>
        <w:t>DHHS has provided funding to the Council to Homeless Persons to run a SHIP champions group.  One of the roles of the SHIP champions is to improve the integrity of SHIP data – to ensure that the data is as accurate as possible so that it provides an effective tool for advocacy and sector development.</w:t>
      </w:r>
      <w:r w:rsidR="00EC29F0">
        <w:rPr>
          <w:color w:val="002060"/>
          <w:sz w:val="20"/>
          <w:szCs w:val="20"/>
        </w:rPr>
        <w:tab/>
      </w:r>
      <w:r w:rsidR="00CC21D4" w:rsidRPr="004F449D">
        <w:rPr>
          <w:color w:val="002060"/>
          <w:sz w:val="20"/>
          <w:szCs w:val="20"/>
        </w:rPr>
        <w:br/>
      </w:r>
      <w:r w:rsidR="00CC21D4" w:rsidRPr="004F449D">
        <w:rPr>
          <w:color w:val="002060"/>
          <w:sz w:val="20"/>
          <w:szCs w:val="20"/>
        </w:rPr>
        <w:br/>
      </w:r>
      <w:r w:rsidR="002459F3" w:rsidRPr="004F449D">
        <w:rPr>
          <w:color w:val="002060"/>
          <w:sz w:val="20"/>
          <w:szCs w:val="20"/>
        </w:rPr>
        <w:t xml:space="preserve">There is a role for the LASN both in monitoring data integrity but also in providing information to DHHS about factors impacting perceived data integrity issues </w:t>
      </w:r>
      <w:proofErr w:type="spellStart"/>
      <w:r w:rsidR="002459F3" w:rsidRPr="004F449D">
        <w:rPr>
          <w:color w:val="002060"/>
          <w:sz w:val="20"/>
          <w:szCs w:val="20"/>
        </w:rPr>
        <w:t>i.e</w:t>
      </w:r>
      <w:proofErr w:type="spellEnd"/>
      <w:r w:rsidR="002459F3" w:rsidRPr="004F449D">
        <w:rPr>
          <w:color w:val="002060"/>
          <w:sz w:val="20"/>
          <w:szCs w:val="20"/>
        </w:rPr>
        <w:t xml:space="preserve"> the impact of short contacts with clients at IA&amp;P services. </w:t>
      </w:r>
    </w:p>
    <w:p w14:paraId="4A2FEE24" w14:textId="77777777" w:rsidR="00CC21D4" w:rsidRPr="004F449D" w:rsidRDefault="00CC21D4" w:rsidP="004F449D">
      <w:pPr>
        <w:ind w:left="-567" w:right="-613"/>
        <w:jc w:val="both"/>
        <w:rPr>
          <w:color w:val="002060"/>
          <w:sz w:val="20"/>
          <w:szCs w:val="20"/>
        </w:rPr>
      </w:pPr>
      <w:r w:rsidRPr="004F449D">
        <w:rPr>
          <w:color w:val="002060"/>
          <w:sz w:val="20"/>
          <w:szCs w:val="20"/>
        </w:rPr>
        <w:t>No formal information has been provided about the ways in which our Victorian SHIP data is lacking integrity but below are some of the issues identified through SHIP Champions and at the Western LASN meeting impacting data integrity:</w:t>
      </w:r>
    </w:p>
    <w:p w14:paraId="2BCFC7F3" w14:textId="77777777" w:rsidR="002459F3" w:rsidRPr="004F449D" w:rsidRDefault="002459F3" w:rsidP="004F449D">
      <w:pPr>
        <w:spacing w:after="0"/>
        <w:ind w:left="-567" w:right="-613"/>
        <w:jc w:val="both"/>
        <w:rPr>
          <w:b/>
          <w:color w:val="002060"/>
          <w:sz w:val="20"/>
          <w:szCs w:val="20"/>
        </w:rPr>
      </w:pPr>
      <w:r w:rsidRPr="004F449D">
        <w:rPr>
          <w:b/>
          <w:color w:val="002060"/>
          <w:sz w:val="20"/>
          <w:szCs w:val="20"/>
        </w:rPr>
        <w:t>Counting children as clients</w:t>
      </w:r>
    </w:p>
    <w:p w14:paraId="5D368C31" w14:textId="77777777" w:rsidR="002459F3" w:rsidRPr="004F449D" w:rsidRDefault="002459F3" w:rsidP="004F449D">
      <w:pPr>
        <w:spacing w:after="0"/>
        <w:ind w:left="-567" w:right="-613"/>
        <w:jc w:val="both"/>
        <w:rPr>
          <w:color w:val="002060"/>
          <w:sz w:val="20"/>
          <w:szCs w:val="20"/>
        </w:rPr>
      </w:pPr>
      <w:r w:rsidRPr="004F449D">
        <w:rPr>
          <w:color w:val="002060"/>
          <w:sz w:val="20"/>
          <w:szCs w:val="20"/>
        </w:rPr>
        <w:t>The count of children accessing homelessness services is likely to be an under representation of the numbers of children</w:t>
      </w:r>
      <w:r w:rsidR="00A02A9D" w:rsidRPr="004F449D">
        <w:rPr>
          <w:color w:val="002060"/>
          <w:sz w:val="20"/>
          <w:szCs w:val="20"/>
        </w:rPr>
        <w:t xml:space="preserve"> accompanying adults supported by homelessness services as each child now needs to be listed separately in SHIP</w:t>
      </w:r>
      <w:r w:rsidR="006946A0" w:rsidRPr="004F449D">
        <w:rPr>
          <w:color w:val="002060"/>
          <w:sz w:val="20"/>
          <w:szCs w:val="20"/>
        </w:rPr>
        <w:t>, that is, if they receive a ser</w:t>
      </w:r>
      <w:r w:rsidR="00CC21D4" w:rsidRPr="004F449D">
        <w:rPr>
          <w:color w:val="002060"/>
          <w:sz w:val="20"/>
          <w:szCs w:val="20"/>
        </w:rPr>
        <w:t>vice as per the SHSC Guidelines.</w:t>
      </w:r>
    </w:p>
    <w:p w14:paraId="10AD289E" w14:textId="77777777" w:rsidR="002459F3" w:rsidRPr="004F449D" w:rsidRDefault="002459F3" w:rsidP="004F449D">
      <w:pPr>
        <w:spacing w:after="0"/>
        <w:ind w:left="-567" w:right="-613"/>
        <w:jc w:val="both"/>
        <w:rPr>
          <w:b/>
          <w:color w:val="002060"/>
          <w:sz w:val="20"/>
          <w:szCs w:val="20"/>
        </w:rPr>
      </w:pPr>
    </w:p>
    <w:p w14:paraId="5DFBEFB1" w14:textId="77777777" w:rsidR="00267DE3" w:rsidRPr="004F449D" w:rsidRDefault="00267DE3" w:rsidP="004F449D">
      <w:pPr>
        <w:spacing w:after="0"/>
        <w:ind w:left="-567" w:right="-613"/>
        <w:jc w:val="both"/>
        <w:rPr>
          <w:b/>
          <w:color w:val="002060"/>
          <w:sz w:val="20"/>
          <w:szCs w:val="20"/>
        </w:rPr>
      </w:pPr>
      <w:r w:rsidRPr="004F449D">
        <w:rPr>
          <w:b/>
          <w:color w:val="002060"/>
          <w:sz w:val="20"/>
          <w:szCs w:val="20"/>
        </w:rPr>
        <w:t>Housing situation</w:t>
      </w:r>
      <w:r w:rsidR="00A02A9D" w:rsidRPr="004F449D">
        <w:rPr>
          <w:b/>
          <w:color w:val="002060"/>
          <w:sz w:val="20"/>
          <w:szCs w:val="20"/>
        </w:rPr>
        <w:t xml:space="preserve"> at beginning and end of the support period</w:t>
      </w:r>
    </w:p>
    <w:p w14:paraId="25273F48" w14:textId="77777777" w:rsidR="00267DE3" w:rsidRPr="004F449D" w:rsidRDefault="00267DE3" w:rsidP="004F449D">
      <w:pPr>
        <w:spacing w:after="0"/>
        <w:ind w:left="-567" w:right="-613"/>
        <w:jc w:val="both"/>
        <w:rPr>
          <w:color w:val="002060"/>
          <w:sz w:val="20"/>
          <w:szCs w:val="20"/>
        </w:rPr>
      </w:pPr>
      <w:r w:rsidRPr="004F449D">
        <w:rPr>
          <w:color w:val="002060"/>
          <w:sz w:val="20"/>
          <w:szCs w:val="20"/>
        </w:rPr>
        <w:t xml:space="preserve">DHHS is particularly interested in data relating to ‘housing situation’ before and after support. </w:t>
      </w:r>
      <w:r w:rsidR="00A02A9D" w:rsidRPr="004F449D">
        <w:rPr>
          <w:color w:val="002060"/>
          <w:sz w:val="20"/>
          <w:szCs w:val="20"/>
        </w:rPr>
        <w:t>This data is used to help determine whether the homelessness sector is making a difference for those presenting as homeless. About 30% of responses are currently ‘don’t know’ or ‘other’</w:t>
      </w:r>
      <w:r w:rsidR="006946A0" w:rsidRPr="004F449D">
        <w:rPr>
          <w:color w:val="002060"/>
          <w:sz w:val="20"/>
          <w:szCs w:val="20"/>
        </w:rPr>
        <w:t xml:space="preserve"> at the beginning and/or the end of support</w:t>
      </w:r>
      <w:r w:rsidR="00A02A9D" w:rsidRPr="004F449D">
        <w:rPr>
          <w:color w:val="002060"/>
          <w:sz w:val="20"/>
          <w:szCs w:val="20"/>
        </w:rPr>
        <w:t xml:space="preserve">. </w:t>
      </w:r>
      <w:r w:rsidRPr="004F449D">
        <w:rPr>
          <w:color w:val="002060"/>
          <w:sz w:val="20"/>
          <w:szCs w:val="20"/>
        </w:rPr>
        <w:t>It is therefore particularly important to limit the number of ‘don’t knows</w:t>
      </w:r>
      <w:r w:rsidR="00A02A9D" w:rsidRPr="004F449D">
        <w:rPr>
          <w:color w:val="002060"/>
          <w:sz w:val="20"/>
          <w:szCs w:val="20"/>
        </w:rPr>
        <w:t>’</w:t>
      </w:r>
      <w:r w:rsidR="00CC21D4" w:rsidRPr="004F449D">
        <w:rPr>
          <w:color w:val="002060"/>
          <w:sz w:val="20"/>
          <w:szCs w:val="20"/>
        </w:rPr>
        <w:t xml:space="preserve"> in this category.  </w:t>
      </w:r>
      <w:r w:rsidR="00CC21D4" w:rsidRPr="004F449D">
        <w:rPr>
          <w:color w:val="002060"/>
          <w:sz w:val="20"/>
          <w:szCs w:val="20"/>
        </w:rPr>
        <w:tab/>
      </w:r>
    </w:p>
    <w:p w14:paraId="6DB368CC" w14:textId="77777777" w:rsidR="00267DE3" w:rsidRPr="004F449D" w:rsidRDefault="00267DE3" w:rsidP="004F449D">
      <w:pPr>
        <w:spacing w:before="120" w:after="0"/>
        <w:ind w:left="-567" w:right="-613"/>
        <w:jc w:val="both"/>
        <w:rPr>
          <w:b/>
          <w:i/>
          <w:color w:val="002060"/>
          <w:sz w:val="20"/>
          <w:szCs w:val="20"/>
        </w:rPr>
      </w:pPr>
      <w:r w:rsidRPr="00C9025A">
        <w:rPr>
          <w:b/>
          <w:i/>
          <w:color w:val="C00000"/>
          <w:sz w:val="20"/>
          <w:szCs w:val="20"/>
        </w:rPr>
        <w:t xml:space="preserve">Action: SHIP users </w:t>
      </w:r>
      <w:r w:rsidRPr="004F449D">
        <w:rPr>
          <w:b/>
          <w:i/>
          <w:color w:val="002060"/>
          <w:sz w:val="20"/>
          <w:szCs w:val="20"/>
        </w:rPr>
        <w:t>to identify a consumer’s housing situation at the beginning and end of the support period.</w:t>
      </w:r>
      <w:r w:rsidR="00CC21D4" w:rsidRPr="004F449D">
        <w:rPr>
          <w:b/>
          <w:i/>
          <w:color w:val="002060"/>
          <w:sz w:val="20"/>
          <w:szCs w:val="20"/>
        </w:rPr>
        <w:tab/>
      </w:r>
      <w:r w:rsidR="00CC21D4" w:rsidRPr="004F449D">
        <w:rPr>
          <w:b/>
          <w:i/>
          <w:color w:val="002060"/>
          <w:sz w:val="20"/>
          <w:szCs w:val="20"/>
        </w:rPr>
        <w:br/>
      </w:r>
    </w:p>
    <w:p w14:paraId="16C84A6E" w14:textId="77777777" w:rsidR="00267DE3" w:rsidRPr="004F449D" w:rsidRDefault="00267DE3" w:rsidP="004F449D">
      <w:pPr>
        <w:spacing w:after="0"/>
        <w:ind w:left="-567" w:right="-613"/>
        <w:jc w:val="both"/>
        <w:rPr>
          <w:b/>
          <w:color w:val="002060"/>
          <w:sz w:val="20"/>
          <w:szCs w:val="20"/>
        </w:rPr>
      </w:pPr>
      <w:r w:rsidRPr="004F449D">
        <w:rPr>
          <w:b/>
          <w:color w:val="002060"/>
          <w:sz w:val="20"/>
          <w:szCs w:val="20"/>
        </w:rPr>
        <w:t>Reasons for presenting</w:t>
      </w:r>
      <w:r w:rsidR="00567B5C" w:rsidRPr="004F449D">
        <w:rPr>
          <w:b/>
          <w:color w:val="002060"/>
          <w:sz w:val="20"/>
          <w:szCs w:val="20"/>
        </w:rPr>
        <w:t xml:space="preserve"> to homelessness service</w:t>
      </w:r>
    </w:p>
    <w:p w14:paraId="1CDC1C3B" w14:textId="77777777" w:rsidR="00267DE3" w:rsidRPr="004F449D" w:rsidRDefault="00267DE3" w:rsidP="004F449D">
      <w:pPr>
        <w:ind w:left="-567" w:right="-613"/>
        <w:jc w:val="both"/>
        <w:rPr>
          <w:color w:val="002060"/>
          <w:sz w:val="20"/>
          <w:szCs w:val="20"/>
        </w:rPr>
      </w:pPr>
      <w:r w:rsidRPr="004F449D">
        <w:rPr>
          <w:color w:val="002060"/>
          <w:sz w:val="20"/>
          <w:szCs w:val="20"/>
        </w:rPr>
        <w:t>Staff generally complete the ‘reason’ and ‘reasons’ for seeking assistance with a consumer early in their support period. Although this data is meant to assist a consumer to provide their worker with information about why they are accessing homelessness services, this data is often used in policy to determine the co</w:t>
      </w:r>
      <w:r w:rsidR="00CC21D4" w:rsidRPr="004F449D">
        <w:rPr>
          <w:color w:val="002060"/>
          <w:sz w:val="20"/>
          <w:szCs w:val="20"/>
        </w:rPr>
        <w:t xml:space="preserve">mplexity of issues leading to </w:t>
      </w:r>
      <w:r w:rsidRPr="004F449D">
        <w:rPr>
          <w:color w:val="002060"/>
          <w:sz w:val="20"/>
          <w:szCs w:val="20"/>
        </w:rPr>
        <w:t>consumer</w:t>
      </w:r>
      <w:r w:rsidR="00CC21D4" w:rsidRPr="004F449D">
        <w:rPr>
          <w:color w:val="002060"/>
          <w:sz w:val="20"/>
          <w:szCs w:val="20"/>
        </w:rPr>
        <w:t>s</w:t>
      </w:r>
      <w:r w:rsidRPr="004F449D">
        <w:rPr>
          <w:color w:val="002060"/>
          <w:sz w:val="20"/>
          <w:szCs w:val="20"/>
        </w:rPr>
        <w:t xml:space="preserve"> be</w:t>
      </w:r>
      <w:r w:rsidR="00CC21D4" w:rsidRPr="004F449D">
        <w:rPr>
          <w:color w:val="002060"/>
          <w:sz w:val="20"/>
          <w:szCs w:val="20"/>
        </w:rPr>
        <w:t>coming</w:t>
      </w:r>
      <w:r w:rsidRPr="004F449D">
        <w:rPr>
          <w:color w:val="002060"/>
          <w:sz w:val="20"/>
          <w:szCs w:val="20"/>
        </w:rPr>
        <w:t xml:space="preserve"> homeless.  It is therefore very important to encourage a consumer to list all the reasons that have contributed to them being homeless </w:t>
      </w:r>
      <w:proofErr w:type="spellStart"/>
      <w:r w:rsidRPr="004F449D">
        <w:rPr>
          <w:color w:val="002060"/>
          <w:sz w:val="20"/>
          <w:szCs w:val="20"/>
        </w:rPr>
        <w:t>i.e</w:t>
      </w:r>
      <w:proofErr w:type="spellEnd"/>
      <w:r w:rsidRPr="004F449D">
        <w:rPr>
          <w:color w:val="002060"/>
          <w:sz w:val="20"/>
          <w:szCs w:val="20"/>
        </w:rPr>
        <w:t xml:space="preserve"> family violence, family breakdown, mental health issues etc.</w:t>
      </w:r>
    </w:p>
    <w:p w14:paraId="4333B4BD" w14:textId="43C1A5FC" w:rsidR="00267DE3" w:rsidRPr="004F449D" w:rsidRDefault="00267DE3" w:rsidP="004F449D">
      <w:pPr>
        <w:ind w:left="-567" w:right="-613"/>
        <w:jc w:val="both"/>
        <w:rPr>
          <w:b/>
          <w:i/>
          <w:color w:val="002060"/>
          <w:sz w:val="20"/>
          <w:szCs w:val="20"/>
        </w:rPr>
      </w:pPr>
      <w:r w:rsidRPr="00C9025A">
        <w:rPr>
          <w:b/>
          <w:i/>
          <w:color w:val="C00000"/>
          <w:sz w:val="20"/>
          <w:szCs w:val="20"/>
        </w:rPr>
        <w:t xml:space="preserve">Action: SHIP users </w:t>
      </w:r>
      <w:r w:rsidRPr="004F449D">
        <w:rPr>
          <w:b/>
          <w:i/>
          <w:color w:val="002060"/>
          <w:sz w:val="20"/>
          <w:szCs w:val="20"/>
        </w:rPr>
        <w:t xml:space="preserve">to encourage consumers to identify as many issues as they can that have contributed </w:t>
      </w:r>
      <w:r w:rsidR="00924006">
        <w:rPr>
          <w:b/>
          <w:i/>
          <w:color w:val="002060"/>
          <w:sz w:val="20"/>
          <w:szCs w:val="20"/>
        </w:rPr>
        <w:t>to a consumer</w:t>
      </w:r>
      <w:r w:rsidRPr="004F449D">
        <w:rPr>
          <w:b/>
          <w:i/>
          <w:color w:val="002060"/>
          <w:sz w:val="20"/>
          <w:szCs w:val="20"/>
        </w:rPr>
        <w:t xml:space="preserve"> becoming </w:t>
      </w:r>
      <w:r w:rsidR="000E54AB" w:rsidRPr="004F449D">
        <w:rPr>
          <w:b/>
          <w:i/>
          <w:color w:val="002060"/>
          <w:sz w:val="20"/>
          <w:szCs w:val="20"/>
        </w:rPr>
        <w:t>homeless or</w:t>
      </w:r>
      <w:r w:rsidRPr="004F449D">
        <w:rPr>
          <w:b/>
          <w:i/>
          <w:color w:val="002060"/>
          <w:sz w:val="20"/>
          <w:szCs w:val="20"/>
        </w:rPr>
        <w:t xml:space="preserve"> being at risk of homelessness.</w:t>
      </w:r>
    </w:p>
    <w:p w14:paraId="31A97E11" w14:textId="77777777" w:rsidR="00267DE3" w:rsidRPr="004F449D" w:rsidRDefault="00136072" w:rsidP="004F449D">
      <w:pPr>
        <w:spacing w:after="0"/>
        <w:ind w:left="-567" w:right="-613"/>
        <w:jc w:val="both"/>
        <w:rPr>
          <w:b/>
          <w:color w:val="002060"/>
          <w:sz w:val="20"/>
          <w:szCs w:val="20"/>
        </w:rPr>
      </w:pPr>
      <w:r w:rsidRPr="004F449D">
        <w:rPr>
          <w:b/>
          <w:color w:val="002060"/>
          <w:sz w:val="20"/>
          <w:szCs w:val="20"/>
        </w:rPr>
        <w:t>Time since (and location) since last permanent address</w:t>
      </w:r>
    </w:p>
    <w:p w14:paraId="4E562FFC" w14:textId="77777777" w:rsidR="00267DE3" w:rsidRPr="004F449D" w:rsidRDefault="00267DE3" w:rsidP="004F449D">
      <w:pPr>
        <w:spacing w:after="120"/>
        <w:ind w:left="-567" w:right="-613"/>
        <w:jc w:val="both"/>
        <w:rPr>
          <w:color w:val="002060"/>
          <w:sz w:val="20"/>
          <w:szCs w:val="20"/>
        </w:rPr>
      </w:pPr>
      <w:r w:rsidRPr="004F449D">
        <w:rPr>
          <w:color w:val="002060"/>
          <w:sz w:val="20"/>
          <w:szCs w:val="20"/>
        </w:rPr>
        <w:t xml:space="preserve">DHHS has identified that this is a very useful field but that the integrity of this field is not high. DHHS draws on this field for information about level of need in different LGAs. </w:t>
      </w:r>
    </w:p>
    <w:p w14:paraId="5B7BC045" w14:textId="20B6D893" w:rsidR="00267DE3" w:rsidRPr="004F449D" w:rsidRDefault="00267DE3" w:rsidP="004F449D">
      <w:pPr>
        <w:ind w:left="-567" w:right="-613"/>
        <w:jc w:val="both"/>
        <w:rPr>
          <w:b/>
          <w:i/>
          <w:color w:val="002060"/>
          <w:sz w:val="20"/>
          <w:szCs w:val="20"/>
        </w:rPr>
      </w:pPr>
      <w:r w:rsidRPr="00C9025A">
        <w:rPr>
          <w:b/>
          <w:i/>
          <w:color w:val="C00000"/>
          <w:sz w:val="20"/>
          <w:szCs w:val="20"/>
        </w:rPr>
        <w:t xml:space="preserve">Action: SHIP users </w:t>
      </w:r>
      <w:r w:rsidRPr="004F449D">
        <w:rPr>
          <w:b/>
          <w:i/>
          <w:color w:val="002060"/>
          <w:sz w:val="20"/>
          <w:szCs w:val="20"/>
        </w:rPr>
        <w:t>to note the</w:t>
      </w:r>
      <w:r w:rsidR="00924006">
        <w:rPr>
          <w:b/>
          <w:i/>
          <w:color w:val="002060"/>
          <w:sz w:val="20"/>
          <w:szCs w:val="20"/>
        </w:rPr>
        <w:t xml:space="preserve"> time and location for consumers prior to</w:t>
      </w:r>
      <w:r w:rsidRPr="004F449D">
        <w:rPr>
          <w:b/>
          <w:i/>
          <w:color w:val="002060"/>
          <w:sz w:val="20"/>
          <w:szCs w:val="20"/>
        </w:rPr>
        <w:t xml:space="preserve"> becoming </w:t>
      </w:r>
      <w:proofErr w:type="gramStart"/>
      <w:r w:rsidRPr="004F449D">
        <w:rPr>
          <w:b/>
          <w:i/>
          <w:color w:val="002060"/>
          <w:sz w:val="20"/>
          <w:szCs w:val="20"/>
        </w:rPr>
        <w:t>homeless, or</w:t>
      </w:r>
      <w:proofErr w:type="gramEnd"/>
      <w:r w:rsidRPr="004F449D">
        <w:rPr>
          <w:b/>
          <w:i/>
          <w:color w:val="002060"/>
          <w:sz w:val="20"/>
          <w:szCs w:val="20"/>
        </w:rPr>
        <w:t xml:space="preserve"> being at risk of homelessness.</w:t>
      </w:r>
    </w:p>
    <w:p w14:paraId="358BFC38" w14:textId="77777777" w:rsidR="00267DE3" w:rsidRPr="004F449D" w:rsidRDefault="00267DE3" w:rsidP="004F449D">
      <w:pPr>
        <w:spacing w:after="0"/>
        <w:ind w:left="-567" w:right="-613"/>
        <w:jc w:val="both"/>
        <w:rPr>
          <w:b/>
          <w:color w:val="002060"/>
          <w:sz w:val="20"/>
          <w:szCs w:val="20"/>
        </w:rPr>
      </w:pPr>
      <w:r w:rsidRPr="004F449D">
        <w:rPr>
          <w:b/>
          <w:color w:val="002060"/>
          <w:sz w:val="20"/>
          <w:szCs w:val="20"/>
        </w:rPr>
        <w:t>Reason support ended</w:t>
      </w:r>
    </w:p>
    <w:p w14:paraId="5657D26D" w14:textId="77777777" w:rsidR="009D4B31" w:rsidRPr="004F449D" w:rsidRDefault="00267DE3" w:rsidP="004F449D">
      <w:pPr>
        <w:ind w:left="-567" w:right="-613"/>
        <w:jc w:val="both"/>
        <w:rPr>
          <w:color w:val="002060"/>
          <w:sz w:val="20"/>
          <w:szCs w:val="20"/>
        </w:rPr>
      </w:pPr>
      <w:r w:rsidRPr="004F449D">
        <w:rPr>
          <w:color w:val="002060"/>
          <w:sz w:val="20"/>
          <w:szCs w:val="20"/>
        </w:rPr>
        <w:t>A very high response rate of</w:t>
      </w:r>
      <w:r w:rsidR="009D4B31" w:rsidRPr="004F449D">
        <w:rPr>
          <w:color w:val="002060"/>
          <w:sz w:val="20"/>
          <w:szCs w:val="20"/>
        </w:rPr>
        <w:t xml:space="preserve"> “other” </w:t>
      </w:r>
      <w:r w:rsidRPr="004F449D">
        <w:rPr>
          <w:color w:val="002060"/>
          <w:sz w:val="20"/>
          <w:szCs w:val="20"/>
        </w:rPr>
        <w:t xml:space="preserve">is listed for this question. </w:t>
      </w:r>
      <w:r w:rsidR="009D4B31" w:rsidRPr="004F449D">
        <w:rPr>
          <w:color w:val="002060"/>
          <w:sz w:val="20"/>
          <w:szCs w:val="20"/>
        </w:rPr>
        <w:t>In the Western SHIP report, 15.6% responses are recorded as “other” and 10.4% as “not stated” so we are missing this data for 25% of clients.  It would be very useful to know whether staff are recording ‘’other or don’t know” because the list of options is inadequate</w:t>
      </w:r>
    </w:p>
    <w:p w14:paraId="02307086" w14:textId="77777777" w:rsidR="00A02A9D" w:rsidRPr="004F449D" w:rsidRDefault="00B00D4E" w:rsidP="004F449D">
      <w:pPr>
        <w:ind w:left="-567" w:right="-613"/>
        <w:jc w:val="both"/>
        <w:rPr>
          <w:color w:val="002060"/>
          <w:sz w:val="20"/>
          <w:szCs w:val="20"/>
        </w:rPr>
      </w:pPr>
      <w:r w:rsidRPr="004F449D">
        <w:rPr>
          <w:color w:val="002060"/>
          <w:sz w:val="20"/>
          <w:szCs w:val="20"/>
        </w:rPr>
        <w:t>it has been indicated that a</w:t>
      </w:r>
      <w:r w:rsidR="00A02A9D" w:rsidRPr="004F449D">
        <w:rPr>
          <w:color w:val="002060"/>
          <w:sz w:val="20"/>
          <w:szCs w:val="20"/>
        </w:rPr>
        <w:t>mongst clients of family violence services,</w:t>
      </w:r>
      <w:r w:rsidR="002E6AB4" w:rsidRPr="004F449D">
        <w:rPr>
          <w:color w:val="002060"/>
          <w:sz w:val="20"/>
          <w:szCs w:val="20"/>
        </w:rPr>
        <w:t xml:space="preserve"> </w:t>
      </w:r>
      <w:r w:rsidR="00A02A9D" w:rsidRPr="004F449D">
        <w:rPr>
          <w:color w:val="002060"/>
          <w:sz w:val="20"/>
          <w:szCs w:val="20"/>
        </w:rPr>
        <w:t>50% of responses to the reason support ended is “other”.  This could reflect the high volume of L17 work.</w:t>
      </w:r>
    </w:p>
    <w:p w14:paraId="17597EC0" w14:textId="77777777" w:rsidR="00A02A9D" w:rsidRPr="004F449D" w:rsidRDefault="00A02A9D" w:rsidP="004F449D">
      <w:pPr>
        <w:spacing w:after="120"/>
        <w:ind w:left="-567" w:right="-613"/>
        <w:jc w:val="both"/>
        <w:rPr>
          <w:color w:val="002060"/>
          <w:sz w:val="20"/>
          <w:szCs w:val="20"/>
        </w:rPr>
      </w:pPr>
      <w:r w:rsidRPr="004F449D">
        <w:rPr>
          <w:color w:val="002060"/>
          <w:sz w:val="20"/>
          <w:szCs w:val="20"/>
        </w:rPr>
        <w:t xml:space="preserve">DHHS would be interested in a list of options that are not included in the drop down for this field. </w:t>
      </w:r>
    </w:p>
    <w:p w14:paraId="5F605CD3" w14:textId="77777777" w:rsidR="00267DE3" w:rsidRPr="004F449D" w:rsidRDefault="009D4B31" w:rsidP="004F449D">
      <w:pPr>
        <w:ind w:left="-567" w:right="-613"/>
        <w:jc w:val="both"/>
        <w:rPr>
          <w:color w:val="002060"/>
          <w:sz w:val="20"/>
          <w:szCs w:val="20"/>
        </w:rPr>
      </w:pPr>
      <w:r w:rsidRPr="00C9025A">
        <w:rPr>
          <w:b/>
          <w:i/>
          <w:color w:val="C00000"/>
          <w:sz w:val="20"/>
          <w:szCs w:val="20"/>
        </w:rPr>
        <w:t xml:space="preserve">Action: SHIP </w:t>
      </w:r>
      <w:r w:rsidRPr="004F449D">
        <w:rPr>
          <w:b/>
          <w:i/>
          <w:color w:val="002060"/>
          <w:sz w:val="20"/>
          <w:szCs w:val="20"/>
        </w:rPr>
        <w:t>users to note</w:t>
      </w:r>
      <w:r w:rsidR="00267DE3" w:rsidRPr="004F449D">
        <w:rPr>
          <w:color w:val="002060"/>
          <w:sz w:val="20"/>
          <w:szCs w:val="20"/>
        </w:rPr>
        <w:t xml:space="preserve"> </w:t>
      </w:r>
      <w:r w:rsidR="00267DE3" w:rsidRPr="004F449D">
        <w:rPr>
          <w:b/>
          <w:i/>
          <w:color w:val="002060"/>
          <w:sz w:val="20"/>
          <w:szCs w:val="20"/>
        </w:rPr>
        <w:t xml:space="preserve">whether there are responses to this question that are not listed in the options provided and </w:t>
      </w:r>
      <w:r w:rsidRPr="004F449D">
        <w:rPr>
          <w:b/>
          <w:i/>
          <w:color w:val="002060"/>
          <w:sz w:val="20"/>
          <w:szCs w:val="20"/>
        </w:rPr>
        <w:t xml:space="preserve">to select from the current </w:t>
      </w:r>
      <w:r w:rsidR="00267DE3" w:rsidRPr="004F449D">
        <w:rPr>
          <w:b/>
          <w:i/>
          <w:color w:val="002060"/>
          <w:sz w:val="20"/>
          <w:szCs w:val="20"/>
        </w:rPr>
        <w:t>range of options</w:t>
      </w:r>
      <w:r w:rsidRPr="004F449D">
        <w:rPr>
          <w:b/>
          <w:i/>
          <w:color w:val="002060"/>
          <w:sz w:val="20"/>
          <w:szCs w:val="20"/>
        </w:rPr>
        <w:t xml:space="preserve"> where possible</w:t>
      </w:r>
      <w:r w:rsidR="00267DE3" w:rsidRPr="004F449D">
        <w:rPr>
          <w:color w:val="002060"/>
          <w:sz w:val="20"/>
          <w:szCs w:val="20"/>
        </w:rPr>
        <w:t>.</w:t>
      </w:r>
      <w:r w:rsidR="00A02A9D" w:rsidRPr="004F449D">
        <w:rPr>
          <w:color w:val="002060"/>
          <w:sz w:val="20"/>
          <w:szCs w:val="20"/>
        </w:rPr>
        <w:tab/>
      </w:r>
    </w:p>
    <w:p w14:paraId="0ED5E9AA" w14:textId="77777777" w:rsidR="00993530" w:rsidRPr="004F449D" w:rsidRDefault="00993530" w:rsidP="004F449D">
      <w:pPr>
        <w:spacing w:after="0"/>
        <w:ind w:left="-567" w:right="-613"/>
        <w:jc w:val="both"/>
        <w:rPr>
          <w:color w:val="002060"/>
          <w:sz w:val="20"/>
          <w:szCs w:val="20"/>
        </w:rPr>
      </w:pPr>
    </w:p>
    <w:p w14:paraId="00B530A1" w14:textId="77777777" w:rsidR="00C9025A" w:rsidRDefault="00C9025A" w:rsidP="004F449D">
      <w:pPr>
        <w:spacing w:after="0"/>
        <w:ind w:left="-567" w:right="-613"/>
        <w:jc w:val="both"/>
        <w:rPr>
          <w:b/>
          <w:color w:val="002060"/>
          <w:sz w:val="20"/>
          <w:szCs w:val="20"/>
        </w:rPr>
      </w:pPr>
    </w:p>
    <w:p w14:paraId="125D9A7B" w14:textId="77777777" w:rsidR="00C9025A" w:rsidRDefault="00C9025A" w:rsidP="004F449D">
      <w:pPr>
        <w:spacing w:after="0"/>
        <w:ind w:left="-567" w:right="-613"/>
        <w:jc w:val="both"/>
        <w:rPr>
          <w:b/>
          <w:color w:val="002060"/>
          <w:sz w:val="20"/>
          <w:szCs w:val="20"/>
        </w:rPr>
      </w:pPr>
    </w:p>
    <w:p w14:paraId="3F71DE86" w14:textId="42174923" w:rsidR="00267DE3" w:rsidRPr="004F449D" w:rsidRDefault="00267DE3" w:rsidP="004F449D">
      <w:pPr>
        <w:spacing w:after="0"/>
        <w:ind w:left="-567" w:right="-613"/>
        <w:jc w:val="both"/>
        <w:rPr>
          <w:b/>
          <w:color w:val="002060"/>
          <w:sz w:val="20"/>
          <w:szCs w:val="20"/>
        </w:rPr>
      </w:pPr>
      <w:r w:rsidRPr="004F449D">
        <w:rPr>
          <w:b/>
          <w:color w:val="002060"/>
          <w:sz w:val="20"/>
          <w:szCs w:val="20"/>
        </w:rPr>
        <w:t>Updates</w:t>
      </w:r>
    </w:p>
    <w:p w14:paraId="010E2FA4" w14:textId="77777777" w:rsidR="00D75AC3" w:rsidRDefault="00D75AC3" w:rsidP="00D75AC3">
      <w:pPr>
        <w:pStyle w:val="xmsolistparagraph"/>
        <w:spacing w:line="276" w:lineRule="auto"/>
        <w:jc w:val="both"/>
      </w:pPr>
      <w:r>
        <w:rPr>
          <w:color w:val="002060"/>
          <w:sz w:val="20"/>
          <w:szCs w:val="20"/>
        </w:rPr>
        <w:lastRenderedPageBreak/>
        <w:t> </w:t>
      </w:r>
    </w:p>
    <w:p w14:paraId="184656C3" w14:textId="0F64AD2F" w:rsidR="00D75AC3" w:rsidRDefault="00D75AC3" w:rsidP="00D75AC3">
      <w:pPr>
        <w:pStyle w:val="xmsolistparagraph"/>
        <w:spacing w:after="200" w:line="252" w:lineRule="auto"/>
        <w:ind w:left="360" w:hanging="360"/>
        <w:jc w:val="both"/>
      </w:pPr>
      <w:r>
        <w:rPr>
          <w:rFonts w:ascii="Symbol" w:hAnsi="Symbol"/>
          <w:color w:val="002060"/>
          <w:sz w:val="20"/>
          <w:szCs w:val="20"/>
        </w:rPr>
        <w:t>·</w:t>
      </w:r>
      <w:r>
        <w:rPr>
          <w:rFonts w:ascii="Times New Roman" w:hAnsi="Times New Roman" w:cs="Times New Roman"/>
          <w:color w:val="002060"/>
          <w:sz w:val="14"/>
          <w:szCs w:val="14"/>
        </w:rPr>
        <w:t>        </w:t>
      </w:r>
      <w:r>
        <w:rPr>
          <w:color w:val="002060"/>
          <w:sz w:val="20"/>
          <w:szCs w:val="20"/>
        </w:rPr>
        <w:t xml:space="preserve">DHHS is seeking to include a voluntary </w:t>
      </w:r>
      <w:proofErr w:type="gramStart"/>
      <w:r>
        <w:rPr>
          <w:color w:val="002060"/>
          <w:sz w:val="20"/>
          <w:szCs w:val="20"/>
        </w:rPr>
        <w:t>drop down</w:t>
      </w:r>
      <w:proofErr w:type="gramEnd"/>
      <w:r>
        <w:rPr>
          <w:color w:val="002060"/>
          <w:sz w:val="20"/>
          <w:szCs w:val="20"/>
        </w:rPr>
        <w:t xml:space="preserve"> box that will assist services to differentiate between programs.  This will particularly help in separating IA&amp;P, IR 2 and support data in services that run all those programs</w:t>
      </w:r>
      <w:r>
        <w:rPr>
          <w:color w:val="C82613"/>
          <w:sz w:val="20"/>
          <w:szCs w:val="20"/>
        </w:rPr>
        <w:t>.</w:t>
      </w:r>
    </w:p>
    <w:p w14:paraId="5D7B2273" w14:textId="77777777" w:rsidR="00D75AC3" w:rsidRDefault="00D75AC3" w:rsidP="00D75AC3">
      <w:pPr>
        <w:pStyle w:val="xmsonormal"/>
        <w:jc w:val="both"/>
      </w:pPr>
      <w:r>
        <w:rPr>
          <w:color w:val="002060"/>
          <w:sz w:val="20"/>
          <w:szCs w:val="20"/>
        </w:rPr>
        <w:t> </w:t>
      </w:r>
    </w:p>
    <w:p w14:paraId="57E5702D" w14:textId="39B83A00" w:rsidR="00D75AC3" w:rsidRPr="00417420" w:rsidRDefault="00D75AC3" w:rsidP="00D75AC3">
      <w:pPr>
        <w:pStyle w:val="xmsolistparagraph"/>
        <w:spacing w:line="252" w:lineRule="auto"/>
        <w:ind w:left="360" w:hanging="360"/>
        <w:jc w:val="both"/>
        <w:rPr>
          <w:color w:val="002060"/>
        </w:rPr>
      </w:pPr>
      <w:r>
        <w:rPr>
          <w:rFonts w:ascii="Symbol" w:hAnsi="Symbol"/>
          <w:color w:val="002060"/>
          <w:sz w:val="20"/>
          <w:szCs w:val="20"/>
        </w:rPr>
        <w:t>·</w:t>
      </w:r>
      <w:r>
        <w:rPr>
          <w:rFonts w:ascii="Times New Roman" w:hAnsi="Times New Roman" w:cs="Times New Roman"/>
          <w:color w:val="002060"/>
          <w:sz w:val="14"/>
          <w:szCs w:val="14"/>
        </w:rPr>
        <w:t>        </w:t>
      </w:r>
      <w:r>
        <w:rPr>
          <w:color w:val="002060"/>
          <w:sz w:val="20"/>
          <w:szCs w:val="20"/>
        </w:rPr>
        <w:t xml:space="preserve">DHHS </w:t>
      </w:r>
      <w:r w:rsidR="00417420">
        <w:rPr>
          <w:color w:val="002060"/>
          <w:sz w:val="20"/>
          <w:szCs w:val="20"/>
        </w:rPr>
        <w:t>sought to include</w:t>
      </w:r>
      <w:r>
        <w:rPr>
          <w:color w:val="002060"/>
          <w:sz w:val="20"/>
          <w:szCs w:val="20"/>
        </w:rPr>
        <w:t xml:space="preserve"> the option to have ‘assistance to establish a private rental tenancy’ included the list of needs identified, </w:t>
      </w:r>
      <w:proofErr w:type="gramStart"/>
      <w:r>
        <w:rPr>
          <w:color w:val="002060"/>
          <w:sz w:val="20"/>
          <w:szCs w:val="20"/>
        </w:rPr>
        <w:t>referred</w:t>
      </w:r>
      <w:proofErr w:type="gramEnd"/>
      <w:r>
        <w:rPr>
          <w:color w:val="002060"/>
          <w:sz w:val="20"/>
          <w:szCs w:val="20"/>
        </w:rPr>
        <w:t xml:space="preserve"> and provided. </w:t>
      </w:r>
      <w:r w:rsidRPr="00417420">
        <w:rPr>
          <w:color w:val="002060"/>
          <w:sz w:val="20"/>
          <w:szCs w:val="20"/>
        </w:rPr>
        <w:t xml:space="preserve">This was rejected by other states and jurisdictions so not being added to minimum data. It </w:t>
      </w:r>
      <w:proofErr w:type="gramStart"/>
      <w:r w:rsidRPr="00417420">
        <w:rPr>
          <w:color w:val="002060"/>
          <w:sz w:val="20"/>
          <w:szCs w:val="20"/>
        </w:rPr>
        <w:t>doesn't</w:t>
      </w:r>
      <w:proofErr w:type="gramEnd"/>
      <w:r w:rsidRPr="00417420">
        <w:rPr>
          <w:color w:val="002060"/>
          <w:sz w:val="20"/>
          <w:szCs w:val="20"/>
        </w:rPr>
        <w:t xml:space="preserve"> make sense to go alone on this. Advocacy and material aid it how AIHW say we should record it</w:t>
      </w:r>
      <w:r w:rsidR="00417420" w:rsidRPr="00417420">
        <w:rPr>
          <w:color w:val="002060"/>
          <w:sz w:val="20"/>
          <w:szCs w:val="20"/>
        </w:rPr>
        <w:t>.</w:t>
      </w:r>
    </w:p>
    <w:p w14:paraId="3B386996" w14:textId="77777777" w:rsidR="00B00D4E" w:rsidRPr="004F449D" w:rsidRDefault="00B00D4E" w:rsidP="004F449D">
      <w:pPr>
        <w:pStyle w:val="ListParagraph"/>
        <w:ind w:left="-567" w:right="-613"/>
        <w:rPr>
          <w:color w:val="002060"/>
          <w:sz w:val="20"/>
          <w:szCs w:val="20"/>
        </w:rPr>
      </w:pPr>
    </w:p>
    <w:p w14:paraId="30EEA6C9" w14:textId="77777777" w:rsidR="00A02A9D" w:rsidRPr="00394B1B" w:rsidRDefault="00A02A9D" w:rsidP="00394B1B">
      <w:pPr>
        <w:ind w:right="-613"/>
        <w:rPr>
          <w:color w:val="002060"/>
          <w:sz w:val="20"/>
          <w:szCs w:val="20"/>
        </w:rPr>
      </w:pPr>
    </w:p>
    <w:p w14:paraId="4E813A6B" w14:textId="77777777" w:rsidR="00267DE3" w:rsidRPr="004F449D" w:rsidRDefault="00267DE3" w:rsidP="004F449D">
      <w:pPr>
        <w:ind w:left="-567" w:right="-613"/>
        <w:rPr>
          <w:color w:val="002060"/>
          <w:sz w:val="20"/>
          <w:szCs w:val="20"/>
        </w:rPr>
      </w:pPr>
    </w:p>
    <w:p w14:paraId="4EAB0D10" w14:textId="77777777" w:rsidR="00A02A9D" w:rsidRDefault="00A02A9D" w:rsidP="00267DE3"/>
    <w:p w14:paraId="1320F1C3" w14:textId="77777777" w:rsidR="00A02A9D" w:rsidRDefault="00A02A9D" w:rsidP="00267DE3"/>
    <w:p w14:paraId="71E77C3C" w14:textId="77777777" w:rsidR="00A02A9D" w:rsidRDefault="00A02A9D" w:rsidP="00267DE3"/>
    <w:p w14:paraId="5896050E" w14:textId="77777777" w:rsidR="00A02A9D" w:rsidRDefault="00A02A9D" w:rsidP="00267DE3"/>
    <w:p w14:paraId="0E4CBC49" w14:textId="77777777" w:rsidR="00A02A9D" w:rsidRDefault="00A02A9D" w:rsidP="00A02A9D">
      <w:pPr>
        <w:spacing w:after="0"/>
      </w:pPr>
      <w:r>
        <w:t>Sarah Langmore</w:t>
      </w:r>
    </w:p>
    <w:p w14:paraId="30DFF9F6" w14:textId="77777777" w:rsidR="00A02A9D" w:rsidRDefault="00A02A9D" w:rsidP="00A02A9D">
      <w:pPr>
        <w:spacing w:after="0"/>
      </w:pPr>
      <w:r>
        <w:t>Western Homelessness Networker</w:t>
      </w:r>
    </w:p>
    <w:p w14:paraId="1B852A1C" w14:textId="77777777" w:rsidR="00A02A9D" w:rsidRDefault="00B00D4E" w:rsidP="00B00D4E">
      <w:pPr>
        <w:spacing w:after="0"/>
      </w:pPr>
      <w:r>
        <w:t>19 April 2017</w:t>
      </w:r>
    </w:p>
    <w:sectPr w:rsidR="00A02A9D" w:rsidSect="00EC29F0">
      <w:footerReference w:type="default" r:id="rId22"/>
      <w:pgSz w:w="11906" w:h="16838"/>
      <w:pgMar w:top="85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423D9" w14:textId="77777777" w:rsidR="00811CCB" w:rsidRDefault="00811CCB" w:rsidP="00970980">
      <w:pPr>
        <w:spacing w:after="0" w:line="240" w:lineRule="auto"/>
      </w:pPr>
      <w:r>
        <w:separator/>
      </w:r>
    </w:p>
  </w:endnote>
  <w:endnote w:type="continuationSeparator" w:id="0">
    <w:p w14:paraId="64B2BFFE" w14:textId="77777777" w:rsidR="00811CCB" w:rsidRDefault="00811CCB" w:rsidP="0097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360595"/>
      <w:docPartObj>
        <w:docPartGallery w:val="Page Numbers (Bottom of Page)"/>
        <w:docPartUnique/>
      </w:docPartObj>
    </w:sdtPr>
    <w:sdtEndPr>
      <w:rPr>
        <w:color w:val="7F7F7F" w:themeColor="background1" w:themeShade="7F"/>
        <w:spacing w:val="60"/>
        <w:sz w:val="18"/>
        <w:szCs w:val="18"/>
      </w:rPr>
    </w:sdtEndPr>
    <w:sdtContent>
      <w:p w14:paraId="47F9A30B" w14:textId="0612C55B" w:rsidR="00C9025A" w:rsidRPr="00C9025A" w:rsidRDefault="00C9025A">
        <w:pPr>
          <w:pStyle w:val="Footer"/>
          <w:pBdr>
            <w:top w:val="single" w:sz="4" w:space="1" w:color="D9D9D9" w:themeColor="background1" w:themeShade="D9"/>
          </w:pBdr>
          <w:jc w:val="right"/>
          <w:rPr>
            <w:sz w:val="18"/>
            <w:szCs w:val="18"/>
          </w:rPr>
        </w:pPr>
        <w:r w:rsidRPr="00C9025A">
          <w:rPr>
            <w:sz w:val="18"/>
            <w:szCs w:val="18"/>
          </w:rPr>
          <w:fldChar w:fldCharType="begin"/>
        </w:r>
        <w:r w:rsidRPr="00C9025A">
          <w:rPr>
            <w:sz w:val="18"/>
            <w:szCs w:val="18"/>
          </w:rPr>
          <w:instrText xml:space="preserve"> PAGE   \* MERGEFORMAT </w:instrText>
        </w:r>
        <w:r w:rsidRPr="00C9025A">
          <w:rPr>
            <w:sz w:val="18"/>
            <w:szCs w:val="18"/>
          </w:rPr>
          <w:fldChar w:fldCharType="separate"/>
        </w:r>
        <w:r w:rsidRPr="00C9025A">
          <w:rPr>
            <w:noProof/>
            <w:sz w:val="18"/>
            <w:szCs w:val="18"/>
          </w:rPr>
          <w:t>2</w:t>
        </w:r>
        <w:r w:rsidRPr="00C9025A">
          <w:rPr>
            <w:noProof/>
            <w:sz w:val="18"/>
            <w:szCs w:val="18"/>
          </w:rPr>
          <w:fldChar w:fldCharType="end"/>
        </w:r>
        <w:r w:rsidRPr="00C9025A">
          <w:rPr>
            <w:sz w:val="18"/>
            <w:szCs w:val="18"/>
          </w:rPr>
          <w:t xml:space="preserve"> | </w:t>
        </w:r>
        <w:r w:rsidRPr="00C9025A">
          <w:rPr>
            <w:color w:val="7F7F7F" w:themeColor="background1" w:themeShade="7F"/>
            <w:spacing w:val="60"/>
            <w:sz w:val="18"/>
            <w:szCs w:val="18"/>
          </w:rPr>
          <w:t>Page</w:t>
        </w:r>
      </w:p>
    </w:sdtContent>
  </w:sdt>
  <w:p w14:paraId="7F339C43" w14:textId="77777777" w:rsidR="00C9025A" w:rsidRDefault="00C9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6233" w14:textId="77777777" w:rsidR="00811CCB" w:rsidRDefault="00811CCB" w:rsidP="00970980">
      <w:pPr>
        <w:spacing w:after="0" w:line="240" w:lineRule="auto"/>
      </w:pPr>
      <w:r>
        <w:separator/>
      </w:r>
    </w:p>
  </w:footnote>
  <w:footnote w:type="continuationSeparator" w:id="0">
    <w:p w14:paraId="322ECC6C" w14:textId="77777777" w:rsidR="00811CCB" w:rsidRDefault="00811CCB" w:rsidP="00970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E5E"/>
    <w:multiLevelType w:val="multilevel"/>
    <w:tmpl w:val="9CFAC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2EF0"/>
    <w:multiLevelType w:val="hybridMultilevel"/>
    <w:tmpl w:val="DF6A7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519A8"/>
    <w:multiLevelType w:val="multilevel"/>
    <w:tmpl w:val="FEEE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86B2E"/>
    <w:multiLevelType w:val="hybridMultilevel"/>
    <w:tmpl w:val="38D2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843F6"/>
    <w:multiLevelType w:val="hybridMultilevel"/>
    <w:tmpl w:val="FBEE6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C97780"/>
    <w:multiLevelType w:val="hybridMultilevel"/>
    <w:tmpl w:val="77BE54CE"/>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EA6281E"/>
    <w:multiLevelType w:val="hybridMultilevel"/>
    <w:tmpl w:val="8DBC1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6D3463"/>
    <w:multiLevelType w:val="hybridMultilevel"/>
    <w:tmpl w:val="CD72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021586"/>
    <w:multiLevelType w:val="hybridMultilevel"/>
    <w:tmpl w:val="AE92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5975AB"/>
    <w:multiLevelType w:val="hybridMultilevel"/>
    <w:tmpl w:val="2ADE0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0570F05"/>
    <w:multiLevelType w:val="multilevel"/>
    <w:tmpl w:val="DE609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B5BB7"/>
    <w:multiLevelType w:val="hybridMultilevel"/>
    <w:tmpl w:val="A89AC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832C44"/>
    <w:multiLevelType w:val="hybridMultilevel"/>
    <w:tmpl w:val="DB9C6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C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8BD4BDC"/>
    <w:multiLevelType w:val="hybridMultilevel"/>
    <w:tmpl w:val="06BE141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79080476"/>
    <w:multiLevelType w:val="multilevel"/>
    <w:tmpl w:val="A796980E"/>
    <w:lvl w:ilvl="0">
      <w:start w:val="1"/>
      <w:numFmt w:val="decimal"/>
      <w:lvlText w:val="%1"/>
      <w:lvlJc w:val="left"/>
      <w:pPr>
        <w:ind w:left="432" w:hanging="432"/>
      </w:pPr>
      <w:rPr>
        <w:color w:val="00B050"/>
        <w:sz w:val="28"/>
        <w:szCs w:val="28"/>
      </w:rPr>
    </w:lvl>
    <w:lvl w:ilvl="1">
      <w:start w:val="1"/>
      <w:numFmt w:val="none"/>
      <w:lvlText w:val="4.1"/>
      <w:lvlJc w:val="left"/>
      <w:pPr>
        <w:ind w:left="576" w:hanging="576"/>
      </w:pPr>
      <w:rPr>
        <w:rFonts w:ascii="Calibri" w:hAnsi="Calibri" w:cs="Calibri" w:hint="default"/>
        <w:b/>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7"/>
  </w:num>
  <w:num w:numId="3">
    <w:abstractNumId w:val="3"/>
  </w:num>
  <w:num w:numId="4">
    <w:abstractNumId w:val="6"/>
  </w:num>
  <w:num w:numId="5">
    <w:abstractNumId w:val="11"/>
  </w:num>
  <w:num w:numId="6">
    <w:abstractNumId w:val="2"/>
  </w:num>
  <w:num w:numId="7">
    <w:abstractNumId w:val="8"/>
  </w:num>
  <w:num w:numId="8">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0"/>
  </w:num>
  <w:num w:numId="12">
    <w:abstractNumId w:val="13"/>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FD"/>
    <w:rsid w:val="0000366C"/>
    <w:rsid w:val="00004D70"/>
    <w:rsid w:val="0004760D"/>
    <w:rsid w:val="00060706"/>
    <w:rsid w:val="00091019"/>
    <w:rsid w:val="000E54AB"/>
    <w:rsid w:val="000E78F9"/>
    <w:rsid w:val="00103E95"/>
    <w:rsid w:val="00136072"/>
    <w:rsid w:val="00171561"/>
    <w:rsid w:val="00176BDD"/>
    <w:rsid w:val="00184791"/>
    <w:rsid w:val="00207E7C"/>
    <w:rsid w:val="00236AC8"/>
    <w:rsid w:val="002459F3"/>
    <w:rsid w:val="002606AC"/>
    <w:rsid w:val="00267DE3"/>
    <w:rsid w:val="00275C0B"/>
    <w:rsid w:val="002B140F"/>
    <w:rsid w:val="002E6AB4"/>
    <w:rsid w:val="002F609A"/>
    <w:rsid w:val="003165D8"/>
    <w:rsid w:val="00340377"/>
    <w:rsid w:val="00365717"/>
    <w:rsid w:val="00392742"/>
    <w:rsid w:val="00394B1B"/>
    <w:rsid w:val="003D75C8"/>
    <w:rsid w:val="003E62D8"/>
    <w:rsid w:val="00417420"/>
    <w:rsid w:val="00496FFC"/>
    <w:rsid w:val="004E178F"/>
    <w:rsid w:val="004F449D"/>
    <w:rsid w:val="00506597"/>
    <w:rsid w:val="00567B5C"/>
    <w:rsid w:val="00583785"/>
    <w:rsid w:val="005857C0"/>
    <w:rsid w:val="00636507"/>
    <w:rsid w:val="00667F4B"/>
    <w:rsid w:val="006740C2"/>
    <w:rsid w:val="006946A0"/>
    <w:rsid w:val="006D4706"/>
    <w:rsid w:val="007251FD"/>
    <w:rsid w:val="00725D10"/>
    <w:rsid w:val="007375BD"/>
    <w:rsid w:val="007514DF"/>
    <w:rsid w:val="00782C67"/>
    <w:rsid w:val="00786688"/>
    <w:rsid w:val="007947DF"/>
    <w:rsid w:val="0080527E"/>
    <w:rsid w:val="00811CCB"/>
    <w:rsid w:val="008407D9"/>
    <w:rsid w:val="0084274D"/>
    <w:rsid w:val="008951B7"/>
    <w:rsid w:val="008F4A2B"/>
    <w:rsid w:val="008F767C"/>
    <w:rsid w:val="00924006"/>
    <w:rsid w:val="00970980"/>
    <w:rsid w:val="009735AE"/>
    <w:rsid w:val="0097428A"/>
    <w:rsid w:val="00993530"/>
    <w:rsid w:val="009A1499"/>
    <w:rsid w:val="009D4B31"/>
    <w:rsid w:val="009F44AC"/>
    <w:rsid w:val="00A02A9D"/>
    <w:rsid w:val="00A23378"/>
    <w:rsid w:val="00A32AEE"/>
    <w:rsid w:val="00A47BF5"/>
    <w:rsid w:val="00AD6B1F"/>
    <w:rsid w:val="00AE5D15"/>
    <w:rsid w:val="00B00D4E"/>
    <w:rsid w:val="00B01989"/>
    <w:rsid w:val="00B13E80"/>
    <w:rsid w:val="00B71E23"/>
    <w:rsid w:val="00B82CB6"/>
    <w:rsid w:val="00B97992"/>
    <w:rsid w:val="00BC5CAC"/>
    <w:rsid w:val="00C431A6"/>
    <w:rsid w:val="00C473FA"/>
    <w:rsid w:val="00C56FCD"/>
    <w:rsid w:val="00C9025A"/>
    <w:rsid w:val="00CC1BFC"/>
    <w:rsid w:val="00CC21D4"/>
    <w:rsid w:val="00CC6D5D"/>
    <w:rsid w:val="00D65EA2"/>
    <w:rsid w:val="00D75AC3"/>
    <w:rsid w:val="00D865B4"/>
    <w:rsid w:val="00DD01BB"/>
    <w:rsid w:val="00E04320"/>
    <w:rsid w:val="00E04C70"/>
    <w:rsid w:val="00E50E7B"/>
    <w:rsid w:val="00E61AA9"/>
    <w:rsid w:val="00E648BE"/>
    <w:rsid w:val="00E66E64"/>
    <w:rsid w:val="00E76052"/>
    <w:rsid w:val="00E8200F"/>
    <w:rsid w:val="00E82D99"/>
    <w:rsid w:val="00E82E73"/>
    <w:rsid w:val="00E86325"/>
    <w:rsid w:val="00EB467F"/>
    <w:rsid w:val="00EC29F0"/>
    <w:rsid w:val="00EE6BA4"/>
    <w:rsid w:val="00F0004F"/>
    <w:rsid w:val="00F23301"/>
    <w:rsid w:val="00F40296"/>
    <w:rsid w:val="00F710A6"/>
    <w:rsid w:val="00F96811"/>
    <w:rsid w:val="00FC14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C49B8"/>
  <w15:docId w15:val="{73A278E5-C3BD-432E-8911-A55516DE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029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1FD"/>
    <w:rPr>
      <w:rFonts w:ascii="Tahoma" w:hAnsi="Tahoma" w:cs="Tahoma"/>
      <w:sz w:val="16"/>
      <w:szCs w:val="16"/>
    </w:rPr>
  </w:style>
  <w:style w:type="paragraph" w:styleId="ListParagraph">
    <w:name w:val="List Paragraph"/>
    <w:basedOn w:val="Normal"/>
    <w:uiPriority w:val="34"/>
    <w:qFormat/>
    <w:rsid w:val="00184791"/>
    <w:pPr>
      <w:ind w:left="720"/>
      <w:contextualSpacing/>
    </w:pPr>
  </w:style>
  <w:style w:type="character" w:styleId="Hyperlink">
    <w:name w:val="Hyperlink"/>
    <w:basedOn w:val="DefaultParagraphFont"/>
    <w:uiPriority w:val="99"/>
    <w:unhideWhenUsed/>
    <w:rsid w:val="00E82D99"/>
    <w:rPr>
      <w:color w:val="0000FF" w:themeColor="hyperlink"/>
      <w:u w:val="single"/>
    </w:rPr>
  </w:style>
  <w:style w:type="paragraph" w:styleId="Header">
    <w:name w:val="header"/>
    <w:basedOn w:val="Normal"/>
    <w:link w:val="HeaderChar"/>
    <w:uiPriority w:val="99"/>
    <w:unhideWhenUsed/>
    <w:rsid w:val="0097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980"/>
  </w:style>
  <w:style w:type="paragraph" w:styleId="Footer">
    <w:name w:val="footer"/>
    <w:basedOn w:val="Normal"/>
    <w:link w:val="FooterChar"/>
    <w:uiPriority w:val="99"/>
    <w:unhideWhenUsed/>
    <w:rsid w:val="0097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980"/>
  </w:style>
  <w:style w:type="character" w:styleId="FollowedHyperlink">
    <w:name w:val="FollowedHyperlink"/>
    <w:basedOn w:val="DefaultParagraphFont"/>
    <w:uiPriority w:val="99"/>
    <w:semiHidden/>
    <w:unhideWhenUsed/>
    <w:rsid w:val="008951B7"/>
    <w:rPr>
      <w:color w:val="800080" w:themeColor="followedHyperlink"/>
      <w:u w:val="single"/>
    </w:rPr>
  </w:style>
  <w:style w:type="character" w:customStyle="1" w:styleId="Heading3Char">
    <w:name w:val="Heading 3 Char"/>
    <w:basedOn w:val="DefaultParagraphFont"/>
    <w:link w:val="Heading3"/>
    <w:uiPriority w:val="9"/>
    <w:rsid w:val="00F40296"/>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F40296"/>
    <w:pPr>
      <w:spacing w:before="100" w:beforeAutospacing="1" w:after="100" w:afterAutospacing="1" w:line="240" w:lineRule="auto"/>
    </w:pPr>
    <w:rPr>
      <w:rFonts w:ascii="Times New Roman" w:eastAsia="Calibri" w:hAnsi="Times New Roman" w:cs="Times New Roman"/>
      <w:sz w:val="24"/>
      <w:szCs w:val="24"/>
      <w:lang w:eastAsia="en-AU"/>
    </w:rPr>
  </w:style>
  <w:style w:type="character" w:customStyle="1" w:styleId="AIHWbodytextChar">
    <w:name w:val="AIHW body text Char"/>
    <w:link w:val="AIHWbodytext"/>
    <w:locked/>
    <w:rsid w:val="00D65EA2"/>
    <w:rPr>
      <w:rFonts w:ascii="Arial" w:hAnsi="Arial" w:cs="Arial"/>
    </w:rPr>
  </w:style>
  <w:style w:type="paragraph" w:customStyle="1" w:styleId="AIHWbodytext">
    <w:name w:val="AIHW body text"/>
    <w:basedOn w:val="Normal"/>
    <w:link w:val="AIHWbodytextChar"/>
    <w:qFormat/>
    <w:rsid w:val="00D65EA2"/>
    <w:pPr>
      <w:spacing w:before="120" w:after="120" w:line="260" w:lineRule="atLeast"/>
    </w:pPr>
    <w:rPr>
      <w:rFonts w:ascii="Arial" w:hAnsi="Arial" w:cs="Arial"/>
    </w:rPr>
  </w:style>
  <w:style w:type="paragraph" w:customStyle="1" w:styleId="xmsonormal">
    <w:name w:val="x_msonormal"/>
    <w:basedOn w:val="Normal"/>
    <w:rsid w:val="00D75AC3"/>
    <w:pPr>
      <w:spacing w:after="0" w:line="240" w:lineRule="auto"/>
    </w:pPr>
    <w:rPr>
      <w:rFonts w:ascii="Calibri" w:hAnsi="Calibri" w:cs="Calibri"/>
      <w:lang w:eastAsia="en-AU"/>
    </w:rPr>
  </w:style>
  <w:style w:type="paragraph" w:customStyle="1" w:styleId="xmsolistparagraph">
    <w:name w:val="x_msolistparagraph"/>
    <w:basedOn w:val="Normal"/>
    <w:rsid w:val="00D75AC3"/>
    <w:pPr>
      <w:spacing w:after="0" w:line="240" w:lineRule="auto"/>
    </w:pPr>
    <w:rPr>
      <w:rFonts w:ascii="Calibri" w:hAnsi="Calibri" w:cs="Calibri"/>
      <w:lang w:eastAsia="en-AU"/>
    </w:rPr>
  </w:style>
  <w:style w:type="paragraph" w:customStyle="1" w:styleId="Default">
    <w:name w:val="Default"/>
    <w:rsid w:val="00DD01B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36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05836">
      <w:bodyDiv w:val="1"/>
      <w:marLeft w:val="0"/>
      <w:marRight w:val="0"/>
      <w:marTop w:val="0"/>
      <w:marBottom w:val="0"/>
      <w:divBdr>
        <w:top w:val="none" w:sz="0" w:space="0" w:color="auto"/>
        <w:left w:val="none" w:sz="0" w:space="0" w:color="auto"/>
        <w:bottom w:val="none" w:sz="0" w:space="0" w:color="auto"/>
        <w:right w:val="none" w:sz="0" w:space="0" w:color="auto"/>
      </w:divBdr>
    </w:div>
    <w:div w:id="1362709119">
      <w:bodyDiv w:val="1"/>
      <w:marLeft w:val="0"/>
      <w:marRight w:val="0"/>
      <w:marTop w:val="0"/>
      <w:marBottom w:val="0"/>
      <w:divBdr>
        <w:top w:val="none" w:sz="0" w:space="0" w:color="auto"/>
        <w:left w:val="none" w:sz="0" w:space="0" w:color="auto"/>
        <w:bottom w:val="none" w:sz="0" w:space="0" w:color="auto"/>
        <w:right w:val="none" w:sz="0" w:space="0" w:color="auto"/>
      </w:divBdr>
    </w:div>
    <w:div w:id="21460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maram-practice-guides-and-resources" TargetMode="External"/><Relationship Id="rId18" Type="http://schemas.openxmlformats.org/officeDocument/2006/relationships/hyperlink" Target="https://www.youtube.com/watch?v=v-Y4WtwN6XA&amp;feature=youtu.be" TargetMode="External"/><Relationship Id="rId3" Type="http://schemas.openxmlformats.org/officeDocument/2006/relationships/customXml" Target="../customXml/item3.xml"/><Relationship Id="rId21" Type="http://schemas.openxmlformats.org/officeDocument/2006/relationships/hyperlink" Target="http://www.nwhn.net.au/Guiding-documents-for-homelessness-services/Statewide-guidelines.aspx" TargetMode="External"/><Relationship Id="rId7" Type="http://schemas.openxmlformats.org/officeDocument/2006/relationships/webSettings" Target="webSettings.xml"/><Relationship Id="rId12" Type="http://schemas.openxmlformats.org/officeDocument/2006/relationships/hyperlink" Target="https://counciltohomelesspersons-my.sharepoint.com/personal/andrewe_chp_org_au/_layouts/15/onedrive.aspx?id=%2Fpersonal%2Fandrewe%5Fchp%5Forg%5Fau%2FDocuments%2FMARAMIS%20Resources&amp;originalPath=aHR0cHM6Ly9jb3VuY2lsdG9ob21lbGVzc3BlcnNvbnMtbXkuc2hhcmVwb2ludC5jb20vOmY6L2cvcGVyc29uYWwvYW5kcmV3ZV9jaHBfb3JnX2F1L0V2Y0pNWWREc3dWQ29hdDZrazJlWm1jQnBMeDZvcWlxYWFaMnRUaERJWTZIdEE_cnRpbWU9N1JQeHJBeFAyRWc" TargetMode="External"/><Relationship Id="rId17" Type="http://schemas.openxmlformats.org/officeDocument/2006/relationships/hyperlink" Target="https://www.aihw.gov.au/about-our-data/our-data-collections/specialist-homelessness-services-collection/shs-elearning" TargetMode="External"/><Relationship Id="rId2" Type="http://schemas.openxmlformats.org/officeDocument/2006/relationships/customXml" Target="../customXml/item2.xml"/><Relationship Id="rId16" Type="http://schemas.openxmlformats.org/officeDocument/2006/relationships/hyperlink" Target="https://www.aihw.gov.au/about-our-data/our-data-collections/specialist-homelessness-services-collection/shs-elearning" TargetMode="External"/><Relationship Id="rId20" Type="http://schemas.openxmlformats.org/officeDocument/2006/relationships/hyperlink" Target="https://wombathss.sharepoint.com/Program%20Delivery/NWHW/Info%20sheets/website%09%20(https:/www.serviceseeker.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youtube.com/watch?v=v-Y4WtwN6XA&amp;feature=youtu.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ecfw.asn.au/maram-training-20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208F1-892A-4671-B16D-7EC5388A70C4}">
  <ds:schemaRefs>
    <ds:schemaRef ds:uri="http://schemas.microsoft.com/sharepoint/v3/contenttype/forms"/>
  </ds:schemaRefs>
</ds:datastoreItem>
</file>

<file path=customXml/itemProps2.xml><?xml version="1.0" encoding="utf-8"?>
<ds:datastoreItem xmlns:ds="http://schemas.openxmlformats.org/officeDocument/2006/customXml" ds:itemID="{F479C646-B8C8-49A7-BA22-094D3165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28449-22d4-42b1-9878-76057358c6ee"/>
    <ds:schemaRef ds:uri="9c3fcbb7-6753-44f7-bc38-22828efa9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54445-4E77-4973-B679-312C99AEF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Longmore</dc:creator>
  <cp:lastModifiedBy>Sarah Langmore</cp:lastModifiedBy>
  <cp:revision>20</cp:revision>
  <cp:lastPrinted>2017-06-06T05:34:00Z</cp:lastPrinted>
  <dcterms:created xsi:type="dcterms:W3CDTF">2020-08-31T04:49:00Z</dcterms:created>
  <dcterms:modified xsi:type="dcterms:W3CDTF">2020-09-08T07:43:00Z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y fmtid="{D5CDD505-2E9C-101B-9397-08002B2CF9AE}" pid="3" name="Order">
    <vt:r8>3175800</vt:r8>
  </property>
</Properties>
</file>